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仿宋"/>
          <w:color w:val="000000" w:themeColor="text1"/>
          <w:sz w:val="36"/>
          <w:szCs w:val="30"/>
          <w14:textFill>
            <w14:solidFill>
              <w14:schemeClr w14:val="tx1"/>
            </w14:solidFill>
          </w14:textFill>
        </w:rPr>
      </w:pPr>
      <w:r>
        <w:rPr>
          <w:rFonts w:hint="eastAsia" w:ascii="黑体" w:hAnsi="黑体" w:eastAsia="黑体" w:cs="黑体"/>
          <w:bCs/>
          <w:color w:val="000000" w:themeColor="text1"/>
          <w:sz w:val="32"/>
          <w:szCs w:val="30"/>
          <w14:textFill>
            <w14:solidFill>
              <w14:schemeClr w14:val="tx1"/>
            </w14:solidFill>
          </w14:textFill>
        </w:rPr>
        <w:t>附件</w:t>
      </w:r>
      <w:r>
        <w:rPr>
          <w:rFonts w:hint="eastAsia" w:ascii="黑体" w:hAnsi="黑体" w:eastAsia="黑体" w:cs="黑体"/>
          <w:bCs/>
          <w:color w:val="000000" w:themeColor="text1"/>
          <w:sz w:val="32"/>
          <w:szCs w:val="30"/>
          <w:lang w:val="en-US" w:eastAsia="zh-CN"/>
          <w14:textFill>
            <w14:solidFill>
              <w14:schemeClr w14:val="tx1"/>
            </w14:solidFill>
          </w14:textFill>
        </w:rPr>
        <w:t>1</w:t>
      </w:r>
      <w:bookmarkStart w:id="0" w:name="_GoBack"/>
      <w:bookmarkEnd w:id="0"/>
      <w:r>
        <w:rPr>
          <w:rFonts w:eastAsia="仿宋"/>
          <w:b/>
          <w:color w:val="000000" w:themeColor="text1"/>
          <w:sz w:val="40"/>
          <w:szCs w:val="30"/>
          <w14:textFill>
            <w14:solidFill>
              <w14:schemeClr w14:val="tx1"/>
            </w14:solidFill>
          </w14:textFill>
        </w:rPr>
        <w:t xml:space="preserve"> </w:t>
      </w:r>
      <w:r>
        <w:rPr>
          <w:rFonts w:eastAsia="仿宋"/>
          <w:color w:val="000000" w:themeColor="text1"/>
          <w:sz w:val="36"/>
          <w:szCs w:val="30"/>
          <w14:textFill>
            <w14:solidFill>
              <w14:schemeClr w14:val="tx1"/>
            </w14:solidFill>
          </w14:textFill>
        </w:rPr>
        <w:t xml:space="preserve">             </w:t>
      </w:r>
    </w:p>
    <w:p>
      <w:pPr>
        <w:adjustRightInd w:val="0"/>
        <w:snapToGrid w:val="0"/>
        <w:spacing w:after="156" w:afterLines="50" w:line="500" w:lineRule="exact"/>
        <w:jc w:val="center"/>
        <w:rPr>
          <w:rFonts w:hint="default" w:eastAsia="黑体"/>
          <w:b/>
          <w:color w:val="000000" w:themeColor="text1"/>
          <w:sz w:val="36"/>
          <w:szCs w:val="30"/>
          <w:lang w:val="en-US" w:eastAsia="zh-CN"/>
          <w14:textFill>
            <w14:solidFill>
              <w14:schemeClr w14:val="tx1"/>
            </w14:solidFill>
          </w14:textFill>
        </w:rPr>
      </w:pPr>
      <w:r>
        <w:rPr>
          <w:rFonts w:eastAsia="黑体"/>
          <w:b/>
          <w:color w:val="000000" w:themeColor="text1"/>
          <w:sz w:val="36"/>
          <w:szCs w:val="30"/>
          <w14:textFill>
            <w14:solidFill>
              <w14:schemeClr w14:val="tx1"/>
            </w14:solidFill>
          </w14:textFill>
        </w:rPr>
        <w:t>高等学校实验室安全检查项目表（2023</w:t>
      </w:r>
      <w:r>
        <w:rPr>
          <w:rFonts w:hint="eastAsia" w:eastAsia="黑体"/>
          <w:b/>
          <w:color w:val="000000" w:themeColor="text1"/>
          <w:sz w:val="36"/>
          <w:szCs w:val="30"/>
          <w14:textFill>
            <w14:solidFill>
              <w14:schemeClr w14:val="tx1"/>
            </w14:solidFill>
          </w14:textFill>
        </w:rPr>
        <w:t>年</w:t>
      </w:r>
      <w:r>
        <w:rPr>
          <w:rFonts w:eastAsia="黑体"/>
          <w:b/>
          <w:color w:val="000000" w:themeColor="text1"/>
          <w:sz w:val="36"/>
          <w:szCs w:val="30"/>
          <w14:textFill>
            <w14:solidFill>
              <w14:schemeClr w14:val="tx1"/>
            </w14:solidFill>
          </w14:textFill>
        </w:rPr>
        <w:t>）</w:t>
      </w:r>
      <w:r>
        <w:rPr>
          <w:rFonts w:hint="eastAsia" w:eastAsia="黑体"/>
          <w:b/>
          <w:color w:val="000000" w:themeColor="text1"/>
          <w:sz w:val="36"/>
          <w:szCs w:val="30"/>
          <w:lang w:eastAsia="zh-CN"/>
          <w14:textFill>
            <w14:solidFill>
              <w14:schemeClr w14:val="tx1"/>
            </w14:solidFill>
          </w14:textFill>
        </w:rPr>
        <w:t>—</w:t>
      </w:r>
      <w:r>
        <w:rPr>
          <w:rFonts w:hint="eastAsia" w:eastAsia="黑体"/>
          <w:b/>
          <w:color w:val="000000" w:themeColor="text1"/>
          <w:sz w:val="36"/>
          <w:szCs w:val="30"/>
          <w:lang w:val="en-US" w:eastAsia="zh-CN"/>
          <w14:textFill>
            <w14:solidFill>
              <w14:schemeClr w14:val="tx1"/>
            </w14:solidFill>
          </w14:textFill>
        </w:rPr>
        <w:t xml:space="preserve"> 实验设备部分</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660"/>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848"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序号</w:t>
            </w:r>
          </w:p>
        </w:tc>
        <w:tc>
          <w:tcPr>
            <w:tcW w:w="382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检查项目</w:t>
            </w:r>
          </w:p>
        </w:tc>
        <w:tc>
          <w:tcPr>
            <w:tcW w:w="766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检查要点</w:t>
            </w:r>
          </w:p>
        </w:tc>
        <w:tc>
          <w:tcPr>
            <w:tcW w:w="2543"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存在燃烧</w:t>
            </w:r>
            <w:r>
              <w:rPr>
                <w:rFonts w:hint="eastAsia" w:eastAsia="仿宋"/>
                <w:kern w:val="0"/>
                <w:szCs w:val="21"/>
              </w:rPr>
              <w:t>、</w:t>
            </w:r>
            <w:r>
              <w:rPr>
                <w:rFonts w:eastAsia="仿宋"/>
                <w:kern w:val="0"/>
                <w:szCs w:val="21"/>
              </w:rPr>
              <w:t>腐蚀</w:t>
            </w:r>
            <w:r>
              <w:rPr>
                <w:rFonts w:hint="eastAsia" w:eastAsia="仿宋"/>
                <w:kern w:val="0"/>
                <w:szCs w:val="21"/>
              </w:rPr>
              <w:t>等</w:t>
            </w:r>
            <w:r>
              <w:rPr>
                <w:rFonts w:eastAsia="仿宋"/>
                <w:kern w:val="0"/>
                <w:szCs w:val="21"/>
              </w:rPr>
              <w:t>风险的实验区域，</w:t>
            </w:r>
            <w:r>
              <w:rPr>
                <w:rFonts w:hint="eastAsia" w:eastAsia="仿宋"/>
                <w:kern w:val="0"/>
                <w:szCs w:val="21"/>
              </w:rPr>
              <w:t>须</w:t>
            </w:r>
            <w:r>
              <w:rPr>
                <w:rFonts w:eastAsia="仿宋"/>
                <w:kern w:val="0"/>
                <w:szCs w:val="21"/>
              </w:rPr>
              <w:t>配置应急喷淋和洗眼装置</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（77）应急喷淋和洗眼装置的区域有显著标识</w:t>
            </w:r>
            <w:r>
              <w:rPr>
                <w:rFonts w:hint="eastAsia" w:eastAsia="仿宋"/>
                <w:kern w:val="0"/>
                <w:szCs w:val="21"/>
              </w:rPr>
              <w:t>。</w:t>
            </w:r>
          </w:p>
        </w:tc>
        <w:tc>
          <w:tcPr>
            <w:tcW w:w="2543" w:type="dxa"/>
            <w:tcMar>
              <w:left w:w="45" w:type="dxa"/>
              <w:right w:w="45" w:type="dxa"/>
            </w:tcMar>
            <w:vAlign w:val="center"/>
          </w:tcPr>
          <w:p>
            <w:pPr>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（78）应急喷淋安装地点与工作区域之间畅通，距离不超过30米</w:t>
            </w:r>
            <w:r>
              <w:rPr>
                <w:rFonts w:hint="eastAsia" w:eastAsia="仿宋"/>
                <w:kern w:val="0"/>
                <w:szCs w:val="21"/>
              </w:rPr>
              <w:t>。</w:t>
            </w:r>
            <w:r>
              <w:rPr>
                <w:rFonts w:eastAsia="仿宋"/>
                <w:kern w:val="0"/>
                <w:szCs w:val="21"/>
              </w:rPr>
              <w:t>应急喷淋安装位置合适，拉杆位置合适、方向正确</w:t>
            </w:r>
            <w:r>
              <w:rPr>
                <w:rFonts w:hint="eastAsia" w:eastAsia="仿宋"/>
                <w:kern w:val="0"/>
                <w:szCs w:val="21"/>
              </w:rPr>
              <w:t>。</w:t>
            </w:r>
            <w:r>
              <w:rPr>
                <w:rFonts w:eastAsia="仿宋"/>
                <w:kern w:val="0"/>
                <w:szCs w:val="21"/>
              </w:rPr>
              <w:t>应急喷淋装置水管总阀</w:t>
            </w:r>
            <w:r>
              <w:rPr>
                <w:rFonts w:hint="eastAsia" w:eastAsia="仿宋"/>
                <w:kern w:val="0"/>
                <w:szCs w:val="21"/>
              </w:rPr>
              <w:t>为</w:t>
            </w:r>
            <w:r>
              <w:rPr>
                <w:rFonts w:eastAsia="仿宋"/>
                <w:kern w:val="0"/>
                <w:szCs w:val="21"/>
              </w:rPr>
              <w:t>常开状，喷淋头下方</w:t>
            </w:r>
            <w:r>
              <w:rPr>
                <w:rFonts w:hint="eastAsia" w:eastAsia="仿宋"/>
                <w:kern w:val="0"/>
                <w:szCs w:val="21"/>
              </w:rPr>
              <w:t>410mm范围内</w:t>
            </w:r>
            <w:r>
              <w:rPr>
                <w:rFonts w:eastAsia="仿宋"/>
                <w:kern w:val="0"/>
                <w:szCs w:val="21"/>
              </w:rPr>
              <w:t>无障碍物</w:t>
            </w:r>
            <w:r>
              <w:rPr>
                <w:rFonts w:hint="eastAsia" w:eastAsia="仿宋"/>
                <w:kern w:val="0"/>
                <w:szCs w:val="21"/>
              </w:rPr>
              <w:t>。</w:t>
            </w:r>
          </w:p>
          <w:p>
            <w:pPr>
              <w:widowControl/>
              <w:spacing w:line="300" w:lineRule="exact"/>
              <w:rPr>
                <w:rFonts w:eastAsia="仿宋"/>
                <w:kern w:val="0"/>
                <w:szCs w:val="21"/>
              </w:rPr>
            </w:pPr>
            <w:r>
              <w:rPr>
                <w:rFonts w:eastAsia="仿宋"/>
                <w:kern w:val="0"/>
                <w:szCs w:val="21"/>
              </w:rPr>
              <w:t>（79）不能以普通淋浴装置代替应急喷淋装置</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（80）洗眼装置接入生活用水管道，</w:t>
            </w:r>
            <w:r>
              <w:rPr>
                <w:rFonts w:hint="eastAsia" w:eastAsia="仿宋"/>
                <w:kern w:val="0"/>
                <w:szCs w:val="21"/>
              </w:rPr>
              <w:t>应至少以1.5L/min的流量供水，水压适中，</w:t>
            </w:r>
            <w:r>
              <w:rPr>
                <w:rFonts w:eastAsia="仿宋"/>
                <w:bCs/>
                <w:kern w:val="0"/>
                <w:szCs w:val="21"/>
              </w:rPr>
              <w:t>水流畅通平稳</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（81）</w:t>
            </w:r>
            <w:r>
              <w:rPr>
                <w:rFonts w:hint="eastAsia" w:eastAsia="仿宋"/>
                <w:kern w:val="0"/>
                <w:szCs w:val="21"/>
              </w:rPr>
              <w:t>经常对应急喷淋与洗眼装置进行维护，无锈水脏水，有检查记录。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kern w:val="0"/>
                <w:szCs w:val="21"/>
              </w:rPr>
              <w:t>7.3</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（82）管道风机</w:t>
            </w:r>
            <w:r>
              <w:rPr>
                <w:rFonts w:hint="eastAsia" w:eastAsia="仿宋"/>
                <w:kern w:val="0"/>
                <w:szCs w:val="21"/>
              </w:rPr>
              <w:t>须</w:t>
            </w:r>
            <w:r>
              <w:rPr>
                <w:rFonts w:eastAsia="仿宋"/>
                <w:kern w:val="0"/>
                <w:szCs w:val="21"/>
              </w:rPr>
              <w:t>防腐，使用可燃气体场所</w:t>
            </w:r>
            <w:r>
              <w:rPr>
                <w:rFonts w:hint="eastAsia" w:eastAsia="仿宋"/>
                <w:kern w:val="0"/>
                <w:szCs w:val="21"/>
              </w:rPr>
              <w:t>宜</w:t>
            </w:r>
            <w:r>
              <w:rPr>
                <w:rFonts w:eastAsia="仿宋"/>
                <w:kern w:val="0"/>
                <w:szCs w:val="21"/>
              </w:rPr>
              <w:t>采用防爆风机</w:t>
            </w:r>
            <w:r>
              <w:rPr>
                <w:rFonts w:hint="eastAsia" w:eastAsia="仿宋"/>
                <w:kern w:val="0"/>
                <w:szCs w:val="21"/>
              </w:rPr>
              <w:t>。</w:t>
            </w:r>
          </w:p>
          <w:p>
            <w:pPr>
              <w:widowControl/>
              <w:spacing w:line="300" w:lineRule="exact"/>
              <w:rPr>
                <w:rFonts w:eastAsia="仿宋"/>
                <w:kern w:val="0"/>
                <w:szCs w:val="21"/>
              </w:rPr>
            </w:pPr>
            <w:r>
              <w:rPr>
                <w:rFonts w:eastAsia="仿宋"/>
                <w:bCs/>
                <w:kern w:val="0"/>
                <w:szCs w:val="21"/>
              </w:rPr>
              <w:t>（83）</w:t>
            </w:r>
            <w:r>
              <w:rPr>
                <w:rFonts w:eastAsia="仿宋"/>
                <w:kern w:val="0"/>
                <w:szCs w:val="21"/>
              </w:rPr>
              <w:t>实验室通风系统运行正常，</w:t>
            </w:r>
            <w:r>
              <w:rPr>
                <w:rFonts w:eastAsia="仿宋"/>
                <w:szCs w:val="21"/>
              </w:rPr>
              <w:t>柜口面</w:t>
            </w:r>
            <w:r>
              <w:rPr>
                <w:rFonts w:eastAsia="仿宋"/>
                <w:kern w:val="0"/>
                <w:szCs w:val="21"/>
              </w:rPr>
              <w:t>风速0.35</w:t>
            </w:r>
            <w:r>
              <w:rPr>
                <w:rFonts w:hint="eastAsia" w:eastAsia="仿宋"/>
                <w:kern w:val="0"/>
                <w:szCs w:val="21"/>
              </w:rPr>
              <w:t>~</w:t>
            </w:r>
            <w:r>
              <w:rPr>
                <w:rFonts w:eastAsia="仿宋"/>
                <w:kern w:val="0"/>
                <w:szCs w:val="21"/>
              </w:rPr>
              <w:t>0.75米/秒，定期进行维护、检修</w:t>
            </w:r>
            <w:r>
              <w:rPr>
                <w:rFonts w:hint="eastAsia" w:eastAsia="仿宋"/>
                <w:kern w:val="0"/>
                <w:szCs w:val="21"/>
              </w:rPr>
              <w:t>。</w:t>
            </w:r>
          </w:p>
          <w:p>
            <w:pPr>
              <w:widowControl/>
              <w:spacing w:line="300" w:lineRule="exact"/>
              <w:rPr>
                <w:rFonts w:eastAsia="仿宋"/>
                <w:kern w:val="0"/>
                <w:szCs w:val="21"/>
              </w:rPr>
            </w:pPr>
            <w:r>
              <w:rPr>
                <w:rFonts w:eastAsia="仿宋"/>
                <w:kern w:val="0"/>
                <w:szCs w:val="21"/>
              </w:rPr>
              <w:t>（84）屋顶风机固定无松动、无异常噪声</w:t>
            </w:r>
            <w:r>
              <w:rPr>
                <w:rFonts w:hint="eastAsia" w:eastAsia="仿宋"/>
                <w:kern w:val="0"/>
                <w:szCs w:val="21"/>
              </w:rPr>
              <w:t>。</w:t>
            </w:r>
          </w:p>
        </w:tc>
        <w:tc>
          <w:tcPr>
            <w:tcW w:w="2543" w:type="dxa"/>
            <w:tcMar>
              <w:left w:w="45" w:type="dxa"/>
              <w:right w:w="45" w:type="dxa"/>
            </w:tcMar>
            <w:vAlign w:val="center"/>
          </w:tcPr>
          <w:p>
            <w:pPr>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（85）实验室排出的有害物质浓度超过国家现行标准规定的允许排放标准时，</w:t>
            </w:r>
            <w:r>
              <w:rPr>
                <w:rFonts w:hint="eastAsia" w:eastAsia="仿宋"/>
                <w:kern w:val="0"/>
                <w:szCs w:val="21"/>
              </w:rPr>
              <w:t>须</w:t>
            </w:r>
            <w:r>
              <w:rPr>
                <w:rFonts w:eastAsia="仿宋"/>
                <w:kern w:val="0"/>
                <w:szCs w:val="21"/>
              </w:rPr>
              <w:t>采取净化措施</w:t>
            </w:r>
            <w:r>
              <w:rPr>
                <w:rFonts w:hint="eastAsia" w:eastAsia="仿宋"/>
                <w:kern w:val="0"/>
                <w:szCs w:val="21"/>
              </w:rPr>
              <w:t>，做到达标排放。</w:t>
            </w:r>
          </w:p>
          <w:p>
            <w:pPr>
              <w:widowControl/>
              <w:spacing w:line="300" w:lineRule="exact"/>
              <w:rPr>
                <w:rFonts w:eastAsia="仿宋"/>
                <w:kern w:val="0"/>
                <w:szCs w:val="21"/>
              </w:rPr>
            </w:pPr>
            <w:r>
              <w:rPr>
                <w:rFonts w:eastAsia="仿宋"/>
                <w:kern w:val="0"/>
                <w:szCs w:val="21"/>
              </w:rPr>
              <w:t>（86）任何可能产生</w:t>
            </w:r>
            <w:r>
              <w:rPr>
                <w:rFonts w:hint="eastAsia" w:eastAsia="仿宋"/>
                <w:kern w:val="0"/>
                <w:szCs w:val="21"/>
              </w:rPr>
              <w:t>有毒</w:t>
            </w:r>
            <w:r>
              <w:rPr>
                <w:rFonts w:eastAsia="仿宋"/>
                <w:kern w:val="0"/>
                <w:szCs w:val="21"/>
              </w:rPr>
              <w:t>有害气体而导致个人曝露、或产生可燃、可爆炸气体或蒸汽而导致积聚的实验，都</w:t>
            </w:r>
            <w:r>
              <w:rPr>
                <w:rFonts w:hint="eastAsia" w:eastAsia="仿宋"/>
                <w:kern w:val="0"/>
                <w:szCs w:val="21"/>
              </w:rPr>
              <w:t>须</w:t>
            </w:r>
            <w:r>
              <w:rPr>
                <w:rFonts w:eastAsia="仿宋"/>
                <w:kern w:val="0"/>
                <w:szCs w:val="21"/>
              </w:rPr>
              <w:t>在通风柜内进行</w:t>
            </w:r>
            <w:r>
              <w:rPr>
                <w:rFonts w:hint="eastAsia" w:eastAsia="仿宋"/>
                <w:kern w:val="0"/>
                <w:szCs w:val="21"/>
              </w:rPr>
              <w:t>。</w:t>
            </w:r>
          </w:p>
          <w:p>
            <w:pPr>
              <w:widowControl/>
              <w:spacing w:line="300" w:lineRule="exact"/>
              <w:rPr>
                <w:rFonts w:eastAsia="仿宋"/>
                <w:kern w:val="0"/>
                <w:szCs w:val="21"/>
              </w:rPr>
            </w:pPr>
            <w:r>
              <w:rPr>
                <w:rFonts w:eastAsia="仿宋"/>
                <w:kern w:val="0"/>
                <w:szCs w:val="21"/>
              </w:rPr>
              <w:t>（87）进行实验时，通风柜可调玻璃视窗开至</w:t>
            </w:r>
            <w:r>
              <w:rPr>
                <w:rFonts w:hint="eastAsia" w:eastAsia="仿宋"/>
                <w:kern w:val="0"/>
                <w:szCs w:val="21"/>
              </w:rPr>
              <w:t>离</w:t>
            </w:r>
            <w:r>
              <w:rPr>
                <w:rFonts w:eastAsia="仿宋"/>
                <w:kern w:val="0"/>
                <w:szCs w:val="21"/>
              </w:rPr>
              <w:t>台面10</w:t>
            </w:r>
            <w:r>
              <w:rPr>
                <w:rFonts w:hint="eastAsia" w:eastAsia="仿宋"/>
                <w:kern w:val="0"/>
                <w:szCs w:val="21"/>
              </w:rPr>
              <w:t>-</w:t>
            </w:r>
            <w:r>
              <w:rPr>
                <w:rFonts w:eastAsia="仿宋"/>
                <w:kern w:val="0"/>
                <w:szCs w:val="21"/>
              </w:rPr>
              <w:t>15厘米，保持通风效果，并保护操作人员胸部以上部位</w:t>
            </w:r>
            <w:r>
              <w:rPr>
                <w:rFonts w:hint="eastAsia" w:eastAsia="仿宋"/>
                <w:kern w:val="0"/>
                <w:szCs w:val="21"/>
              </w:rPr>
              <w:t>。</w:t>
            </w:r>
            <w:r>
              <w:rPr>
                <w:rFonts w:eastAsia="仿宋"/>
                <w:kern w:val="0"/>
                <w:szCs w:val="21"/>
              </w:rPr>
              <w:t>实验人员在通风柜进行实验时，避免将头伸入调节门内</w:t>
            </w:r>
            <w:r>
              <w:rPr>
                <w:rFonts w:hint="eastAsia" w:eastAsia="仿宋"/>
                <w:kern w:val="0"/>
                <w:szCs w:val="21"/>
              </w:rPr>
              <w:t>。</w:t>
            </w:r>
            <w:r>
              <w:rPr>
                <w:rFonts w:eastAsia="仿宋"/>
                <w:kern w:val="0"/>
                <w:szCs w:val="21"/>
              </w:rPr>
              <w:t>不可将一次性手套或较轻的塑料袋等留在通风柜内，以免堵塞排风口</w:t>
            </w:r>
            <w:r>
              <w:rPr>
                <w:rFonts w:hint="eastAsia" w:eastAsia="仿宋"/>
                <w:kern w:val="0"/>
                <w:szCs w:val="21"/>
              </w:rPr>
              <w:t>。</w:t>
            </w:r>
            <w:r>
              <w:rPr>
                <w:rFonts w:eastAsia="仿宋"/>
                <w:kern w:val="0"/>
                <w:szCs w:val="21"/>
              </w:rPr>
              <w:t>通风柜内放置</w:t>
            </w:r>
            <w:r>
              <w:rPr>
                <w:rFonts w:hint="eastAsia" w:eastAsia="仿宋"/>
                <w:kern w:val="0"/>
                <w:szCs w:val="21"/>
              </w:rPr>
              <w:t>的</w:t>
            </w:r>
            <w:r>
              <w:rPr>
                <w:rFonts w:eastAsia="仿宋"/>
                <w:kern w:val="0"/>
                <w:szCs w:val="21"/>
              </w:rPr>
              <w:t>物品应距离调节门内侧15厘米</w:t>
            </w:r>
            <w:r>
              <w:rPr>
                <w:rFonts w:hint="eastAsia" w:eastAsia="仿宋"/>
                <w:kern w:val="0"/>
                <w:szCs w:val="21"/>
              </w:rPr>
              <w:t>以上</w:t>
            </w:r>
            <w:r>
              <w:rPr>
                <w:rFonts w:eastAsia="仿宋"/>
                <w:kern w:val="0"/>
                <w:szCs w:val="21"/>
              </w:rPr>
              <w:t>，以免掉落</w:t>
            </w:r>
            <w:r>
              <w:rPr>
                <w:rFonts w:hint="eastAsia" w:eastAsia="仿宋"/>
                <w:kern w:val="0"/>
                <w:szCs w:val="21"/>
              </w:rPr>
              <w:t>。不得将通风柜作为化学试剂存放场所。</w:t>
            </w:r>
            <w:r>
              <w:rPr>
                <w:rFonts w:eastAsia="仿宋"/>
                <w:bCs/>
                <w:kern w:val="0"/>
                <w:szCs w:val="21"/>
              </w:rPr>
              <w:t>玻璃视窗材料应是钢化玻璃</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pPr>
              <w:widowControl/>
              <w:spacing w:line="300" w:lineRule="exact"/>
              <w:rPr>
                <w:rFonts w:eastAsia="仿宋"/>
                <w:b/>
                <w:bCs/>
                <w:kern w:val="0"/>
                <w:szCs w:val="21"/>
              </w:rPr>
            </w:pPr>
            <w:r>
              <w:rPr>
                <w:rFonts w:hint="eastAsia" w:eastAsia="仿宋"/>
                <w:kern w:val="0"/>
                <w:szCs w:val="21"/>
              </w:rPr>
              <w:t>（2</w:t>
            </w:r>
            <w:r>
              <w:rPr>
                <w:rFonts w:eastAsia="仿宋"/>
                <w:kern w:val="0"/>
                <w:szCs w:val="21"/>
              </w:rPr>
              <w:t>34</w:t>
            </w:r>
            <w:r>
              <w:rPr>
                <w:rFonts w:hint="eastAsia" w:eastAsia="仿宋"/>
                <w:kern w:val="0"/>
                <w:szCs w:val="21"/>
              </w:rPr>
              <w:t>）</w:t>
            </w:r>
            <w:r>
              <w:rPr>
                <w:rFonts w:eastAsia="仿宋"/>
                <w:kern w:val="0"/>
                <w:szCs w:val="21"/>
              </w:rPr>
              <w:t>查看电子或纸质台账</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大型、特种设备的使用</w:t>
            </w:r>
            <w:r>
              <w:rPr>
                <w:rFonts w:hint="eastAsia" w:eastAsia="仿宋"/>
                <w:kern w:val="0"/>
                <w:szCs w:val="21"/>
              </w:rPr>
              <w:t>须</w:t>
            </w:r>
            <w:r>
              <w:rPr>
                <w:rFonts w:eastAsia="仿宋"/>
                <w:kern w:val="0"/>
                <w:szCs w:val="21"/>
              </w:rPr>
              <w:t>符合相关规定</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35</w:t>
            </w:r>
            <w:r>
              <w:rPr>
                <w:rFonts w:hint="eastAsia" w:eastAsia="仿宋"/>
                <w:kern w:val="0"/>
                <w:szCs w:val="21"/>
              </w:rPr>
              <w:t>）</w:t>
            </w:r>
            <w:r>
              <w:rPr>
                <w:rFonts w:eastAsia="仿宋"/>
                <w:kern w:val="0"/>
                <w:szCs w:val="21"/>
              </w:rPr>
              <w:t>大型仪器设备、高功率的设备与电路容量相匹配，有设备运行维护的记录，有安全操作规程或注意事项</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（2</w:t>
            </w:r>
            <w:r>
              <w:rPr>
                <w:rFonts w:eastAsia="仿宋"/>
                <w:szCs w:val="21"/>
              </w:rPr>
              <w:t>36</w:t>
            </w:r>
            <w:r>
              <w:rPr>
                <w:rFonts w:hint="eastAsia" w:eastAsia="仿宋"/>
                <w:szCs w:val="21"/>
              </w:rPr>
              <w:t>）</w:t>
            </w:r>
            <w:r>
              <w:rPr>
                <w:rFonts w:eastAsia="仿宋"/>
                <w:szCs w:val="21"/>
              </w:rPr>
              <w:t>仪器设备接地系统应按规范要求，采用铜质材料，接地电阻不高于0.5欧</w:t>
            </w:r>
            <w:r>
              <w:rPr>
                <w:rFonts w:hint="eastAsia" w:eastAsia="仿宋"/>
                <w:szCs w:val="21"/>
              </w:rPr>
              <w:t>。</w:t>
            </w:r>
          </w:p>
          <w:p>
            <w:pPr>
              <w:widowControl/>
              <w:spacing w:line="300" w:lineRule="exact"/>
              <w:rPr>
                <w:rFonts w:eastAsia="仿宋"/>
                <w:kern w:val="0"/>
                <w:szCs w:val="21"/>
              </w:rPr>
            </w:pPr>
            <w:r>
              <w:rPr>
                <w:rFonts w:hint="eastAsia" w:eastAsia="仿宋"/>
                <w:szCs w:val="21"/>
              </w:rPr>
              <w:t>（2</w:t>
            </w:r>
            <w:r>
              <w:rPr>
                <w:rFonts w:eastAsia="仿宋"/>
                <w:szCs w:val="21"/>
              </w:rPr>
              <w:t>37</w:t>
            </w:r>
            <w:r>
              <w:rPr>
                <w:rFonts w:hint="eastAsia" w:eastAsia="仿宋"/>
                <w:szCs w:val="21"/>
              </w:rPr>
              <w:t>）</w:t>
            </w:r>
            <w:r>
              <w:rPr>
                <w:rFonts w:eastAsia="仿宋"/>
                <w:szCs w:val="21"/>
              </w:rPr>
              <w:t>电脑、空调、电加热器等不随意开机过夜</w:t>
            </w:r>
            <w:r>
              <w:rPr>
                <w:rFonts w:hint="eastAsia" w:eastAsia="仿宋"/>
                <w:szCs w:val="21"/>
              </w:rPr>
              <w:t>。</w:t>
            </w:r>
            <w:r>
              <w:rPr>
                <w:rFonts w:eastAsia="仿宋"/>
                <w:kern w:val="0"/>
                <w:szCs w:val="21"/>
              </w:rPr>
              <w:t>对于不能断电的特殊仪器设备，采取必要的防护措施（如双路供电、不间断电源、监控报警等）</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12.1.4</w:t>
            </w:r>
          </w:p>
        </w:tc>
        <w:tc>
          <w:tcPr>
            <w:tcW w:w="3820" w:type="dxa"/>
            <w:tcMar>
              <w:left w:w="45" w:type="dxa"/>
              <w:right w:w="45" w:type="dxa"/>
            </w:tcMar>
            <w:vAlign w:val="center"/>
          </w:tcPr>
          <w:p>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38</w:t>
            </w:r>
            <w:r>
              <w:rPr>
                <w:rFonts w:hint="eastAsia" w:eastAsia="仿宋"/>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39</w:t>
            </w:r>
            <w:r>
              <w:rPr>
                <w:rFonts w:hint="eastAsia" w:eastAsia="仿宋"/>
                <w:szCs w:val="21"/>
              </w:rPr>
              <w:t>）</w:t>
            </w:r>
            <w:r>
              <w:rPr>
                <w:rFonts w:hint="eastAsia" w:eastAsia="仿宋"/>
                <w:kern w:val="0"/>
                <w:szCs w:val="21"/>
              </w:rPr>
              <w:t>非标准设备、自制设备应经安全论证合格后方可使用，并须充分考虑安全系数，并有安全防护措施。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40</w:t>
            </w:r>
            <w:r>
              <w:rPr>
                <w:rFonts w:hint="eastAsia" w:eastAsia="仿宋"/>
                <w:kern w:val="0"/>
                <w:szCs w:val="21"/>
              </w:rPr>
              <w:t>）</w:t>
            </w:r>
            <w:r>
              <w:rPr>
                <w:rFonts w:eastAsia="仿宋"/>
                <w:kern w:val="0"/>
                <w:szCs w:val="21"/>
              </w:rPr>
              <w:t>机床应保持清洁整齐</w:t>
            </w:r>
            <w:r>
              <w:rPr>
                <w:rFonts w:hint="eastAsia" w:eastAsia="仿宋"/>
                <w:kern w:val="0"/>
                <w:szCs w:val="21"/>
              </w:rPr>
              <w:t>，</w:t>
            </w:r>
            <w:r>
              <w:rPr>
                <w:rFonts w:eastAsia="仿宋"/>
                <w:kern w:val="0"/>
                <w:szCs w:val="21"/>
              </w:rPr>
              <w:t>严禁在床头、床面、刀架上放置物品</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41</w:t>
            </w:r>
            <w:r>
              <w:rPr>
                <w:rFonts w:hint="eastAsia" w:eastAsia="仿宋"/>
                <w:kern w:val="0"/>
                <w:szCs w:val="21"/>
              </w:rPr>
              <w:t>）</w:t>
            </w:r>
            <w:r>
              <w:rPr>
                <w:rFonts w:eastAsia="仿宋"/>
                <w:kern w:val="0"/>
                <w:szCs w:val="21"/>
              </w:rPr>
              <w:t>机械设备可靠接地</w:t>
            </w:r>
            <w:r>
              <w:rPr>
                <w:rFonts w:hint="eastAsia" w:eastAsia="仿宋"/>
                <w:kern w:val="0"/>
                <w:szCs w:val="21"/>
              </w:rPr>
              <w:t>，</w:t>
            </w:r>
            <w:r>
              <w:rPr>
                <w:rFonts w:eastAsia="仿宋"/>
                <w:kern w:val="0"/>
                <w:szCs w:val="21"/>
              </w:rPr>
              <w:t>实验结束后，应切断电源，整理好场地并将实验用具等摆放整齐，及时清理机械设备产生的废渣、废屑</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操作机械设备时实验人员应做好个</w:t>
            </w:r>
            <w:r>
              <w:rPr>
                <w:rFonts w:hint="eastAsia" w:eastAsia="仿宋"/>
                <w:kern w:val="0"/>
                <w:szCs w:val="21"/>
              </w:rPr>
              <w:t>体</w:t>
            </w:r>
            <w:r>
              <w:rPr>
                <w:rFonts w:eastAsia="仿宋"/>
                <w:kern w:val="0"/>
                <w:szCs w:val="21"/>
              </w:rPr>
              <w:t>防护</w:t>
            </w:r>
          </w:p>
        </w:tc>
        <w:tc>
          <w:tcPr>
            <w:tcW w:w="7660" w:type="dxa"/>
            <w:tcMar>
              <w:left w:w="45" w:type="dxa"/>
              <w:right w:w="45" w:type="dxa"/>
            </w:tcMar>
            <w:vAlign w:val="center"/>
          </w:tcPr>
          <w:p>
            <w:pPr>
              <w:rPr>
                <w:rFonts w:eastAsia="仿宋"/>
                <w:kern w:val="0"/>
              </w:rPr>
            </w:pPr>
            <w:r>
              <w:rPr>
                <w:rFonts w:hint="eastAsia" w:eastAsia="仿宋"/>
                <w:kern w:val="0"/>
              </w:rPr>
              <w:t>（2</w:t>
            </w:r>
            <w:r>
              <w:rPr>
                <w:rFonts w:eastAsia="仿宋"/>
                <w:kern w:val="0"/>
              </w:rPr>
              <w:t>42</w:t>
            </w:r>
            <w:r>
              <w:rPr>
                <w:rFonts w:hint="eastAsia" w:eastAsia="仿宋"/>
                <w:kern w:val="0"/>
              </w:rPr>
              <w:t>）</w:t>
            </w:r>
            <w:r>
              <w:rPr>
                <w:rFonts w:eastAsia="仿宋"/>
                <w:kern w:val="0"/>
              </w:rPr>
              <w:t>个</w:t>
            </w:r>
            <w:r>
              <w:rPr>
                <w:rFonts w:hint="eastAsia" w:eastAsia="仿宋"/>
                <w:kern w:val="0"/>
              </w:rPr>
              <w:t>人</w:t>
            </w:r>
            <w:r>
              <w:rPr>
                <w:rFonts w:eastAsia="仿宋"/>
                <w:kern w:val="0"/>
              </w:rPr>
              <w:t>防护用品要穿戴齐全，如工作服、工作帽、工作鞋、防护眼镜等</w:t>
            </w:r>
            <w:r>
              <w:rPr>
                <w:rFonts w:hint="eastAsia" w:eastAsia="仿宋"/>
                <w:kern w:val="0"/>
              </w:rPr>
              <w:t>。</w:t>
            </w:r>
            <w:r>
              <w:rPr>
                <w:rFonts w:eastAsia="仿宋"/>
                <w:kern w:val="0"/>
              </w:rPr>
              <w:t>操作冷加工设备必须穿</w:t>
            </w:r>
            <w:r>
              <w:rPr>
                <w:rFonts w:hint="eastAsia" w:eastAsia="仿宋"/>
                <w:kern w:val="0"/>
              </w:rPr>
              <w:t>“</w:t>
            </w:r>
            <w:r>
              <w:rPr>
                <w:rFonts w:eastAsia="仿宋"/>
                <w:kern w:val="0"/>
              </w:rPr>
              <w:t>三紧式</w:t>
            </w:r>
            <w:r>
              <w:rPr>
                <w:rFonts w:hint="eastAsia" w:eastAsia="仿宋"/>
                <w:kern w:val="0"/>
              </w:rPr>
              <w:t>”</w:t>
            </w:r>
            <w:r>
              <w:rPr>
                <w:rFonts w:eastAsia="仿宋"/>
                <w:kern w:val="0"/>
              </w:rPr>
              <w:t>工作服，不能留长发（长发要盘在工作帽内），禁止戴手套</w:t>
            </w:r>
            <w:r>
              <w:rPr>
                <w:rFonts w:hint="eastAsia" w:eastAsia="仿宋"/>
                <w:kern w:val="0"/>
              </w:rPr>
              <w:t>。</w:t>
            </w:r>
          </w:p>
          <w:p>
            <w:pPr>
              <w:rPr>
                <w:rFonts w:eastAsia="仿宋"/>
                <w:kern w:val="0"/>
                <w:szCs w:val="21"/>
              </w:rPr>
            </w:pPr>
            <w:r>
              <w:rPr>
                <w:rFonts w:hint="eastAsia" w:eastAsia="仿宋"/>
                <w:kern w:val="0"/>
              </w:rPr>
              <w:t>（2</w:t>
            </w:r>
            <w:r>
              <w:rPr>
                <w:rFonts w:eastAsia="仿宋"/>
                <w:kern w:val="0"/>
              </w:rPr>
              <w:t>43</w:t>
            </w:r>
            <w:r>
              <w:rPr>
                <w:rFonts w:hint="eastAsia" w:eastAsia="仿宋"/>
                <w:kern w:val="0"/>
              </w:rPr>
              <w:t>）</w:t>
            </w:r>
            <w:r>
              <w:rPr>
                <w:rFonts w:eastAsia="仿宋"/>
                <w:kern w:val="0"/>
                <w:szCs w:val="21"/>
              </w:rPr>
              <w:t>进入高速切削机械操作工作场所，穿好工作服</w:t>
            </w:r>
            <w:r>
              <w:rPr>
                <w:rFonts w:hint="eastAsia" w:eastAsia="仿宋"/>
                <w:kern w:val="0"/>
                <w:szCs w:val="21"/>
              </w:rPr>
              <w:t>工作鞋、</w:t>
            </w:r>
            <w:r>
              <w:rPr>
                <w:rFonts w:eastAsia="仿宋"/>
                <w:kern w:val="0"/>
                <w:szCs w:val="21"/>
              </w:rPr>
              <w:t>戴好防护眼镜</w:t>
            </w:r>
            <w:r>
              <w:rPr>
                <w:rFonts w:hint="eastAsia" w:eastAsia="仿宋"/>
                <w:kern w:val="0"/>
                <w:szCs w:val="21"/>
              </w:rPr>
              <w:t>、</w:t>
            </w:r>
            <w:r>
              <w:rPr>
                <w:rFonts w:eastAsia="仿宋"/>
                <w:kern w:val="0"/>
                <w:szCs w:val="21"/>
              </w:rPr>
              <w:t>扣紧衣袖口</w:t>
            </w:r>
            <w:r>
              <w:rPr>
                <w:rFonts w:hint="eastAsia" w:eastAsia="仿宋"/>
                <w:kern w:val="0"/>
                <w:szCs w:val="21"/>
              </w:rPr>
              <w:t>、</w:t>
            </w:r>
            <w:r>
              <w:rPr>
                <w:rFonts w:eastAsia="仿宋"/>
                <w:kern w:val="0"/>
                <w:szCs w:val="21"/>
              </w:rPr>
              <w:t>戴好工作帽</w:t>
            </w:r>
            <w:r>
              <w:rPr>
                <w:rFonts w:hint="eastAsia" w:eastAsia="仿宋"/>
                <w:kern w:val="0"/>
                <w:szCs w:val="21"/>
              </w:rPr>
              <w:t>（</w:t>
            </w:r>
            <w:r>
              <w:rPr>
                <w:rFonts w:eastAsia="仿宋"/>
                <w:kern w:val="0"/>
                <w:szCs w:val="21"/>
              </w:rPr>
              <w:t>长发学生</w:t>
            </w:r>
            <w:r>
              <w:rPr>
                <w:rFonts w:eastAsia="仿宋"/>
                <w:kern w:val="0"/>
              </w:rPr>
              <w:t>必须将长发盘在工作帽内</w:t>
            </w:r>
            <w:r>
              <w:rPr>
                <w:rFonts w:hint="eastAsia" w:eastAsia="仿宋"/>
                <w:kern w:val="0"/>
                <w:szCs w:val="21"/>
              </w:rPr>
              <w:t>）</w:t>
            </w:r>
            <w:r>
              <w:rPr>
                <w:rFonts w:eastAsia="仿宋"/>
                <w:kern w:val="0"/>
                <w:szCs w:val="21"/>
              </w:rPr>
              <w:t>，禁止戴手套、长围巾、领带、手镯等配饰物，禁穿拖鞋、高跟鞋等</w:t>
            </w:r>
            <w:r>
              <w:rPr>
                <w:rFonts w:hint="eastAsia" w:eastAsia="仿宋"/>
                <w:kern w:val="0"/>
                <w:szCs w:val="21"/>
              </w:rPr>
              <w:t>。</w:t>
            </w:r>
            <w:r>
              <w:rPr>
                <w:rFonts w:eastAsia="仿宋"/>
                <w:kern w:val="0"/>
                <w:szCs w:val="21"/>
              </w:rPr>
              <w:t>设备运转时严禁用手调整工件</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44</w:t>
            </w:r>
            <w:r>
              <w:rPr>
                <w:rFonts w:hint="eastAsia" w:eastAsia="仿宋"/>
                <w:kern w:val="0"/>
                <w:szCs w:val="21"/>
              </w:rPr>
              <w:t>）</w:t>
            </w:r>
            <w:r>
              <w:rPr>
                <w:rFonts w:eastAsia="仿宋"/>
                <w:kern w:val="0"/>
                <w:szCs w:val="21"/>
              </w:rPr>
              <w:t>铸造实验场地宽敞、通道畅通，使用设备前，操作者要按要求穿戴好防护用品</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45</w:t>
            </w:r>
            <w:r>
              <w:rPr>
                <w:rFonts w:hint="eastAsia" w:eastAsia="仿宋"/>
                <w:kern w:val="0"/>
                <w:szCs w:val="21"/>
              </w:rPr>
              <w:t>）</w:t>
            </w:r>
            <w:r>
              <w:rPr>
                <w:rFonts w:eastAsia="仿宋"/>
                <w:kern w:val="0"/>
                <w:szCs w:val="21"/>
              </w:rPr>
              <w:t>盐浴炉加热零件必须预先烘干，并用铁丝绑牢，缓慢放入炉中，以防盐液炸崩烫伤</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46</w:t>
            </w:r>
            <w:r>
              <w:rPr>
                <w:rFonts w:hint="eastAsia" w:eastAsia="仿宋"/>
                <w:kern w:val="0"/>
                <w:szCs w:val="21"/>
              </w:rPr>
              <w:t>）</w:t>
            </w:r>
            <w:r>
              <w:rPr>
                <w:rFonts w:eastAsia="仿宋"/>
                <w:kern w:val="0"/>
                <w:szCs w:val="21"/>
              </w:rPr>
              <w:t>淬火油槽不得有水，油量不能过少，以免发生火灾</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47</w:t>
            </w:r>
            <w:r>
              <w:rPr>
                <w:rFonts w:hint="eastAsia" w:eastAsia="仿宋"/>
                <w:kern w:val="0"/>
                <w:szCs w:val="21"/>
              </w:rPr>
              <w:t>）</w:t>
            </w:r>
            <w:r>
              <w:rPr>
                <w:rFonts w:eastAsia="仿宋"/>
                <w:kern w:val="0"/>
                <w:szCs w:val="21"/>
              </w:rPr>
              <w:t>与铁水接触的一切工具，使用前必须加热，严禁将冷的工具伸入铁水内，以免引起爆炸</w:t>
            </w:r>
            <w:r>
              <w:rPr>
                <w:rFonts w:hint="eastAsia" w:eastAsia="仿宋"/>
                <w:kern w:val="0"/>
                <w:szCs w:val="21"/>
              </w:rPr>
              <w:t>。</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48</w:t>
            </w:r>
            <w:r>
              <w:rPr>
                <w:rFonts w:hint="eastAsia" w:eastAsia="仿宋"/>
                <w:kern w:val="0"/>
                <w:szCs w:val="21"/>
              </w:rPr>
              <w:t>）</w:t>
            </w:r>
            <w:r>
              <w:rPr>
                <w:rFonts w:eastAsia="仿宋"/>
                <w:kern w:val="0"/>
                <w:szCs w:val="21"/>
              </w:rPr>
              <w:t>锻压设备不得空打或大力敲打过薄锻件，锻造时锻件应达到850 ℃以上，锻锤空置时应垫有木块</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kern w:val="0"/>
                <w:szCs w:val="21"/>
              </w:rPr>
              <w:t>12.2.4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49</w:t>
            </w:r>
            <w:r>
              <w:rPr>
                <w:rFonts w:hint="eastAsia" w:eastAsia="仿宋"/>
                <w:kern w:val="0"/>
                <w:szCs w:val="21"/>
              </w:rPr>
              <w:t>）</w:t>
            </w:r>
            <w:r>
              <w:rPr>
                <w:rFonts w:eastAsia="仿宋"/>
                <w:kern w:val="0"/>
                <w:szCs w:val="21"/>
              </w:rPr>
              <w:t>在坠落高度基准面2米</w:t>
            </w:r>
            <w:r>
              <w:rPr>
                <w:rFonts w:hint="eastAsia" w:eastAsia="仿宋"/>
                <w:kern w:val="0"/>
                <w:szCs w:val="21"/>
              </w:rPr>
              <w:t>及</w:t>
            </w:r>
            <w:r>
              <w:rPr>
                <w:rFonts w:eastAsia="仿宋"/>
                <w:kern w:val="0"/>
                <w:szCs w:val="21"/>
              </w:rPr>
              <w:t>以上有可能坠落的高处进行作业，须穿防滑鞋、佩戴安全帽、使用安全带</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50</w:t>
            </w:r>
            <w:r>
              <w:rPr>
                <w:rFonts w:hint="eastAsia" w:eastAsia="仿宋"/>
                <w:kern w:val="0"/>
                <w:szCs w:val="21"/>
              </w:rPr>
              <w:t>）</w:t>
            </w:r>
            <w:r>
              <w:rPr>
                <w:rFonts w:eastAsia="仿宋"/>
                <w:kern w:val="0"/>
                <w:szCs w:val="21"/>
              </w:rPr>
              <w:t>临边作业须在临空一侧设置防护栏杆，有相关安全操作规程</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51</w:t>
            </w:r>
            <w:r>
              <w:rPr>
                <w:rFonts w:hint="eastAsia" w:eastAsia="仿宋"/>
                <w:kern w:val="0"/>
                <w:szCs w:val="21"/>
              </w:rPr>
              <w:t>）</w:t>
            </w:r>
            <w:r>
              <w:rPr>
                <w:rFonts w:eastAsia="仿宋"/>
                <w:kern w:val="0"/>
                <w:szCs w:val="21"/>
              </w:rPr>
              <w:t>各种电器设备及电线应始终保持干燥，防止浸湿，以防短路引起火灾或烧坏电气设备</w:t>
            </w:r>
            <w:r>
              <w:rPr>
                <w:rFonts w:hint="eastAsia" w:eastAsia="仿宋"/>
                <w:kern w:val="0"/>
                <w:szCs w:val="21"/>
              </w:rPr>
              <w:t>。</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52</w:t>
            </w:r>
            <w:r>
              <w:rPr>
                <w:rFonts w:hint="eastAsia" w:eastAsia="仿宋"/>
                <w:kern w:val="0"/>
                <w:szCs w:val="21"/>
              </w:rPr>
              <w:t>）</w:t>
            </w:r>
            <w:r>
              <w:rPr>
                <w:rFonts w:hint="eastAsia" w:eastAsia="仿宋"/>
                <w:szCs w:val="21"/>
              </w:rPr>
              <w:t>实</w:t>
            </w:r>
            <w:r>
              <w:rPr>
                <w:rFonts w:eastAsia="仿宋"/>
                <w:szCs w:val="21"/>
              </w:rPr>
              <w:t>验室内的功能间墙面都应设有专用接地母排，并设有多点接地引出端</w:t>
            </w:r>
            <w:r>
              <w:rPr>
                <w:rFonts w:hint="eastAsia" w:eastAsia="仿宋"/>
                <w:szCs w:val="21"/>
              </w:rPr>
              <w:t>。</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53</w:t>
            </w:r>
            <w:r>
              <w:rPr>
                <w:rFonts w:hint="eastAsia" w:eastAsia="仿宋"/>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高度不低于2米</w:t>
            </w:r>
            <w:r>
              <w:rPr>
                <w:rFonts w:eastAsia="仿宋"/>
                <w:kern w:val="0"/>
                <w:szCs w:val="21"/>
              </w:rPr>
              <w:t>）</w:t>
            </w:r>
            <w:r>
              <w:rPr>
                <w:rFonts w:hint="eastAsia" w:eastAsia="仿宋"/>
                <w:kern w:val="0"/>
                <w:szCs w:val="21"/>
              </w:rPr>
              <w:t>。</w:t>
            </w:r>
          </w:p>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54</w:t>
            </w:r>
            <w:r>
              <w:rPr>
                <w:rFonts w:hint="eastAsia" w:eastAsia="仿宋"/>
                <w:kern w:val="0"/>
                <w:szCs w:val="21"/>
              </w:rPr>
              <w:t>）</w:t>
            </w:r>
            <w:r>
              <w:rPr>
                <w:rFonts w:eastAsia="仿宋"/>
                <w:kern w:val="0"/>
                <w:szCs w:val="21"/>
              </w:rPr>
              <w:t>控制室（控制台）应铺橡胶、绝缘垫等</w:t>
            </w:r>
            <w:r>
              <w:rPr>
                <w:rFonts w:hint="eastAsia" w:eastAsia="仿宋"/>
                <w:kern w:val="0"/>
                <w:szCs w:val="21"/>
              </w:rPr>
              <w:t>。</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55</w:t>
            </w:r>
            <w:r>
              <w:rPr>
                <w:rFonts w:hint="eastAsia" w:eastAsia="仿宋"/>
                <w:kern w:val="0"/>
                <w:szCs w:val="21"/>
              </w:rPr>
              <w:t>）</w:t>
            </w:r>
            <w:r>
              <w:rPr>
                <w:rFonts w:eastAsia="仿宋"/>
                <w:szCs w:val="21"/>
              </w:rPr>
              <w:t>强电实验室禁止存放易燃、易爆、易腐品，保持通风散热</w:t>
            </w:r>
            <w:r>
              <w:rPr>
                <w:rFonts w:hint="eastAsia" w:eastAsia="仿宋"/>
                <w:szCs w:val="21"/>
              </w:rPr>
              <w:t>。</w:t>
            </w:r>
          </w:p>
          <w:p>
            <w:pPr>
              <w:widowControl/>
              <w:tabs>
                <w:tab w:val="left" w:pos="4321"/>
              </w:tabs>
              <w:spacing w:line="300" w:lineRule="exact"/>
              <w:rPr>
                <w:rFonts w:eastAsia="仿宋"/>
                <w:szCs w:val="21"/>
              </w:rPr>
            </w:pPr>
            <w:r>
              <w:rPr>
                <w:rFonts w:hint="eastAsia" w:eastAsia="仿宋"/>
                <w:szCs w:val="21"/>
              </w:rPr>
              <w:t>（2</w:t>
            </w:r>
            <w:r>
              <w:rPr>
                <w:rFonts w:eastAsia="仿宋"/>
                <w:szCs w:val="21"/>
              </w:rPr>
              <w:t>56</w:t>
            </w:r>
            <w:r>
              <w:rPr>
                <w:rFonts w:hint="eastAsia" w:eastAsia="仿宋"/>
                <w:szCs w:val="21"/>
              </w:rPr>
              <w:t>）</w:t>
            </w:r>
            <w:r>
              <w:rPr>
                <w:rFonts w:eastAsia="仿宋"/>
                <w:szCs w:val="21"/>
              </w:rPr>
              <w:t>应为设备配备残余电流泄放专用的接地系统</w:t>
            </w:r>
            <w:r>
              <w:rPr>
                <w:rFonts w:hint="eastAsia" w:eastAsia="仿宋"/>
                <w:szCs w:val="21"/>
              </w:rPr>
              <w:t>。</w:t>
            </w:r>
          </w:p>
          <w:p>
            <w:pPr>
              <w:widowControl/>
              <w:tabs>
                <w:tab w:val="left" w:pos="4321"/>
              </w:tabs>
              <w:spacing w:line="300" w:lineRule="exact"/>
              <w:rPr>
                <w:rFonts w:eastAsia="仿宋"/>
                <w:szCs w:val="21"/>
              </w:rPr>
            </w:pPr>
            <w:r>
              <w:rPr>
                <w:rFonts w:hint="eastAsia" w:eastAsia="仿宋"/>
                <w:szCs w:val="21"/>
              </w:rPr>
              <w:t>（2</w:t>
            </w:r>
            <w:r>
              <w:rPr>
                <w:rFonts w:eastAsia="仿宋"/>
                <w:szCs w:val="21"/>
              </w:rPr>
              <w:t>57</w:t>
            </w:r>
            <w:r>
              <w:rPr>
                <w:rFonts w:hint="eastAsia" w:eastAsia="仿宋"/>
                <w:szCs w:val="21"/>
              </w:rPr>
              <w:t>）</w:t>
            </w:r>
            <w:r>
              <w:rPr>
                <w:rFonts w:eastAsia="仿宋"/>
                <w:szCs w:val="21"/>
              </w:rPr>
              <w:t>禁止在有可燃气体泄露隐患的环境中使用电动工具；电烙铁有专门搁架，用毕立即切断电源</w:t>
            </w:r>
            <w:r>
              <w:rPr>
                <w:rFonts w:hint="eastAsia" w:eastAsia="仿宋"/>
                <w:szCs w:val="21"/>
              </w:rPr>
              <w:t>。</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58</w:t>
            </w:r>
            <w:r>
              <w:rPr>
                <w:rFonts w:hint="eastAsia" w:eastAsia="仿宋"/>
                <w:szCs w:val="21"/>
              </w:rPr>
              <w:t>）</w:t>
            </w:r>
            <w:r>
              <w:rPr>
                <w:rFonts w:eastAsia="仿宋"/>
                <w:szCs w:val="21"/>
              </w:rPr>
              <w:t>强磁设备应配备与大地相连的金属屏蔽网</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59</w:t>
            </w:r>
            <w:r>
              <w:rPr>
                <w:rFonts w:hint="eastAsia" w:eastAsia="仿宋"/>
                <w:kern w:val="0"/>
                <w:szCs w:val="21"/>
              </w:rPr>
              <w:t>）</w:t>
            </w:r>
            <w:r>
              <w:rPr>
                <w:rFonts w:eastAsia="仿宋"/>
                <w:kern w:val="0"/>
                <w:szCs w:val="21"/>
              </w:rPr>
              <w:t>强电类</w:t>
            </w:r>
            <w:r>
              <w:rPr>
                <w:rFonts w:hint="eastAsia" w:eastAsia="仿宋"/>
                <w:kern w:val="0"/>
                <w:szCs w:val="21"/>
              </w:rPr>
              <w:t>高电压</w:t>
            </w:r>
            <w:r>
              <w:rPr>
                <w:rFonts w:eastAsia="仿宋"/>
                <w:kern w:val="0"/>
                <w:szCs w:val="21"/>
              </w:rPr>
              <w:t>实验必须二人（含）以上，操作时应戴绝缘手套；防护器具按规定进行周期试验或定期更换；</w:t>
            </w:r>
            <w:r>
              <w:rPr>
                <w:rFonts w:eastAsia="仿宋"/>
                <w:szCs w:val="21"/>
              </w:rPr>
              <w:t>静电场所，要保持空气湿润，工作人员要穿戴防静电服、手套和鞋靴</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60</w:t>
            </w:r>
            <w:r>
              <w:rPr>
                <w:rFonts w:hint="eastAsia" w:eastAsia="仿宋"/>
                <w:bCs/>
                <w:kern w:val="0"/>
                <w:szCs w:val="21"/>
              </w:rPr>
              <w:t>）</w:t>
            </w:r>
            <w:r>
              <w:rPr>
                <w:rFonts w:eastAsia="仿宋"/>
                <w:bCs/>
                <w:kern w:val="0"/>
                <w:szCs w:val="21"/>
              </w:rPr>
              <w:t>功率较大的激光器有互锁装置、防护罩</w:t>
            </w:r>
            <w:r>
              <w:rPr>
                <w:rFonts w:hint="eastAsia" w:eastAsia="仿宋"/>
                <w:bCs/>
                <w:kern w:val="0"/>
                <w:szCs w:val="21"/>
              </w:rPr>
              <w:t>，</w:t>
            </w:r>
            <w:r>
              <w:rPr>
                <w:rFonts w:eastAsia="仿宋"/>
                <w:bCs/>
                <w:kern w:val="0"/>
                <w:szCs w:val="21"/>
              </w:rPr>
              <w:t>激光照射方向不会对他人造成伤害，防止激光发射口及反射镜上扬</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激光实验时须佩戴合适的个</w:t>
            </w:r>
            <w:r>
              <w:rPr>
                <w:rFonts w:hint="eastAsia" w:eastAsia="仿宋"/>
                <w:bCs/>
                <w:kern w:val="0"/>
                <w:szCs w:val="21"/>
              </w:rPr>
              <w:t>体</w:t>
            </w:r>
            <w:r>
              <w:rPr>
                <w:rFonts w:eastAsia="仿宋"/>
                <w:bCs/>
                <w:kern w:val="0"/>
                <w:szCs w:val="21"/>
              </w:rPr>
              <w:t>防护用具</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61</w:t>
            </w:r>
            <w:r>
              <w:rPr>
                <w:rFonts w:hint="eastAsia" w:eastAsia="仿宋"/>
                <w:bCs/>
                <w:kern w:val="0"/>
                <w:szCs w:val="21"/>
              </w:rPr>
              <w:t>）</w:t>
            </w:r>
            <w:r>
              <w:rPr>
                <w:rFonts w:eastAsia="仿宋"/>
                <w:bCs/>
                <w:kern w:val="0"/>
                <w:szCs w:val="21"/>
              </w:rPr>
              <w:t>操作人员穿戴防护眼镜等防护用品、不带手表等能反光的物品</w:t>
            </w:r>
            <w:r>
              <w:rPr>
                <w:rFonts w:hint="eastAsia" w:eastAsia="仿宋"/>
                <w:bCs/>
                <w:kern w:val="0"/>
                <w:szCs w:val="21"/>
              </w:rPr>
              <w:t>，</w:t>
            </w:r>
            <w:r>
              <w:rPr>
                <w:rFonts w:eastAsia="仿宋"/>
                <w:szCs w:val="21"/>
                <w:shd w:val="clear" w:color="auto" w:fill="FFFFFF"/>
              </w:rPr>
              <w:t>禁止直视激光束和它的反向光束，禁止对激光器件做任何目视准直操作</w:t>
            </w:r>
            <w:r>
              <w:rPr>
                <w:rFonts w:hint="eastAsia" w:eastAsia="仿宋"/>
                <w:szCs w:val="21"/>
                <w:shd w:val="clear" w:color="auto" w:fill="FFFFFF"/>
              </w:rPr>
              <w:t>，</w:t>
            </w:r>
            <w:r>
              <w:rPr>
                <w:rFonts w:eastAsia="仿宋"/>
                <w:bCs/>
                <w:kern w:val="0"/>
                <w:szCs w:val="21"/>
              </w:rPr>
              <w:t>禁止用眼睛检查激光器故障，激光器必须在断电情况下进行检查</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62</w:t>
            </w:r>
            <w:r>
              <w:rPr>
                <w:rFonts w:hint="eastAsia" w:eastAsia="仿宋"/>
                <w:bCs/>
                <w:kern w:val="0"/>
                <w:szCs w:val="21"/>
              </w:rPr>
              <w:t>）</w:t>
            </w:r>
            <w:r>
              <w:rPr>
                <w:rFonts w:eastAsia="仿宋"/>
                <w:bCs/>
                <w:kern w:val="0"/>
                <w:szCs w:val="21"/>
              </w:rPr>
              <w:t>所有激光区域内张贴警告标识</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达到</w:t>
            </w:r>
            <w:r>
              <w:rPr>
                <w:rFonts w:eastAsia="仿宋"/>
                <w:kern w:val="0"/>
                <w:szCs w:val="21"/>
              </w:rPr>
              <w:t>《特种设备目录》</w:t>
            </w:r>
            <w:r>
              <w:rPr>
                <w:rFonts w:hint="eastAsia" w:eastAsia="仿宋"/>
                <w:kern w:val="0"/>
                <w:szCs w:val="21"/>
              </w:rPr>
              <w:t>中起重机械指标</w:t>
            </w:r>
            <w:r>
              <w:rPr>
                <w:rFonts w:eastAsia="仿宋"/>
                <w:kern w:val="0"/>
                <w:szCs w:val="21"/>
              </w:rPr>
              <w:t>的</w:t>
            </w:r>
            <w:r>
              <w:rPr>
                <w:rFonts w:hint="eastAsia" w:eastAsia="仿宋"/>
                <w:kern w:val="0"/>
                <w:szCs w:val="21"/>
              </w:rPr>
              <w:t>起重设备</w:t>
            </w:r>
            <w:r>
              <w:rPr>
                <w:rFonts w:eastAsia="仿宋"/>
                <w:kern w:val="0"/>
                <w:szCs w:val="21"/>
              </w:rPr>
              <w:t>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67</w:t>
            </w:r>
            <w:r>
              <w:rPr>
                <w:rFonts w:hint="eastAsia" w:eastAsia="仿宋"/>
                <w:kern w:val="0"/>
                <w:szCs w:val="21"/>
              </w:rPr>
              <w:t>）</w:t>
            </w:r>
            <w:r>
              <w:rPr>
                <w:rFonts w:eastAsia="仿宋"/>
                <w:kern w:val="0"/>
                <w:szCs w:val="21"/>
              </w:rPr>
              <w:t>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68</w:t>
            </w:r>
            <w:r>
              <w:rPr>
                <w:rFonts w:hint="eastAsia" w:eastAsia="仿宋"/>
                <w:kern w:val="0"/>
                <w:szCs w:val="21"/>
              </w:rPr>
              <w:t>）</w:t>
            </w:r>
            <w:r>
              <w:rPr>
                <w:rFonts w:eastAsia="仿宋"/>
                <w:kern w:val="0"/>
                <w:szCs w:val="21"/>
              </w:rPr>
              <w:t>起重机指挥、起重机司机须取得</w:t>
            </w:r>
            <w:r>
              <w:rPr>
                <w:rFonts w:hint="eastAsia" w:eastAsia="仿宋"/>
                <w:kern w:val="0"/>
                <w:szCs w:val="21"/>
              </w:rPr>
              <w:t>相应的</w:t>
            </w:r>
            <w:r>
              <w:rPr>
                <w:rFonts w:eastAsia="仿宋"/>
                <w:kern w:val="0"/>
                <w:szCs w:val="21"/>
              </w:rPr>
              <w:t>《特种设备</w:t>
            </w:r>
            <w:r>
              <w:rPr>
                <w:rFonts w:hint="eastAsia" w:eastAsia="仿宋"/>
                <w:kern w:val="0"/>
                <w:szCs w:val="21"/>
              </w:rPr>
              <w:t>安全管理和</w:t>
            </w:r>
            <w:r>
              <w:rPr>
                <w:rFonts w:eastAsia="仿宋"/>
                <w:kern w:val="0"/>
                <w:szCs w:val="21"/>
              </w:rPr>
              <w:t>作业人员证》，持证上岗，并每4年复审一次</w:t>
            </w:r>
            <w:r>
              <w:rPr>
                <w:rFonts w:hint="eastAsia" w:eastAsia="仿宋"/>
                <w:kern w:val="0"/>
                <w:szCs w:val="21"/>
              </w:rPr>
              <w:t>。</w:t>
            </w:r>
          </w:p>
          <w:p>
            <w:pPr>
              <w:rPr>
                <w:rFonts w:eastAsia="仿宋"/>
                <w:kern w:val="0"/>
                <w:szCs w:val="21"/>
              </w:rPr>
            </w:pPr>
            <w:r>
              <w:rPr>
                <w:rFonts w:hint="eastAsia" w:eastAsia="仿宋"/>
                <w:kern w:val="0"/>
                <w:szCs w:val="21"/>
              </w:rPr>
              <w:t>（2</w:t>
            </w:r>
            <w:r>
              <w:rPr>
                <w:rFonts w:eastAsia="仿宋"/>
                <w:kern w:val="0"/>
                <w:szCs w:val="21"/>
              </w:rPr>
              <w:t>69</w:t>
            </w:r>
            <w:r>
              <w:rPr>
                <w:rFonts w:hint="eastAsia" w:eastAsia="仿宋"/>
                <w:kern w:val="0"/>
                <w:szCs w:val="21"/>
              </w:rPr>
              <w:t>）</w:t>
            </w:r>
            <w:r>
              <w:rPr>
                <w:rFonts w:eastAsia="仿宋"/>
                <w:kern w:val="0"/>
                <w:szCs w:val="21"/>
              </w:rPr>
              <w:t>委托有资质单位进行定期检验，并将定期检验合格证置于特种设备显著位置</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w:t>
            </w:r>
            <w:r>
              <w:rPr>
                <w:rFonts w:hint="eastAsia" w:eastAsia="仿宋"/>
                <w:kern w:val="0"/>
                <w:szCs w:val="21"/>
              </w:rPr>
              <w:t>须</w:t>
            </w:r>
            <w:r>
              <w:rPr>
                <w:rFonts w:eastAsia="仿宋"/>
                <w:kern w:val="0"/>
                <w:szCs w:val="21"/>
              </w:rPr>
              <w:t>定期保养，设置警示标识，安装防护设施</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70</w:t>
            </w:r>
            <w:r>
              <w:rPr>
                <w:rFonts w:hint="eastAsia" w:eastAsia="仿宋"/>
                <w:kern w:val="0"/>
                <w:szCs w:val="21"/>
              </w:rPr>
              <w:t>）</w:t>
            </w:r>
            <w:r>
              <w:rPr>
                <w:rFonts w:eastAsia="仿宋"/>
                <w:kern w:val="0"/>
                <w:szCs w:val="21"/>
              </w:rPr>
              <w:t>在用起重机械至少每月进行一次日常维护保养和自行检查，并作记录</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71</w:t>
            </w:r>
            <w:r>
              <w:rPr>
                <w:rFonts w:hint="eastAsia" w:eastAsia="仿宋"/>
                <w:kern w:val="0"/>
                <w:szCs w:val="21"/>
              </w:rPr>
              <w:t>）</w:t>
            </w:r>
            <w:r>
              <w:rPr>
                <w:rFonts w:eastAsia="仿宋"/>
                <w:kern w:val="0"/>
                <w:szCs w:val="21"/>
              </w:rPr>
              <w:t>制定安全操作规程，并在周边醒目位置张贴警示标识，有必要的</w:t>
            </w:r>
            <w:r>
              <w:rPr>
                <w:rFonts w:hint="eastAsia" w:eastAsia="仿宋"/>
                <w:kern w:val="0"/>
                <w:szCs w:val="21"/>
              </w:rPr>
              <w:t>安全距离和</w:t>
            </w:r>
            <w:r>
              <w:rPr>
                <w:rFonts w:eastAsia="仿宋"/>
                <w:kern w:val="0"/>
                <w:szCs w:val="21"/>
              </w:rPr>
              <w:t>防护措施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72</w:t>
            </w:r>
            <w:r>
              <w:rPr>
                <w:rFonts w:hint="eastAsia" w:eastAsia="仿宋"/>
                <w:kern w:val="0"/>
                <w:szCs w:val="21"/>
              </w:rPr>
              <w:t>）</w:t>
            </w:r>
            <w:r>
              <w:rPr>
                <w:rFonts w:eastAsia="仿宋"/>
                <w:kern w:val="0"/>
                <w:szCs w:val="21"/>
              </w:rPr>
              <w:t>起重设备声光报警正常，室内起重设备</w:t>
            </w:r>
            <w:r>
              <w:rPr>
                <w:rFonts w:hint="eastAsia" w:eastAsia="仿宋"/>
                <w:kern w:val="0"/>
                <w:szCs w:val="21"/>
              </w:rPr>
              <w:t>应</w:t>
            </w:r>
            <w:r>
              <w:rPr>
                <w:rFonts w:eastAsia="仿宋"/>
                <w:kern w:val="0"/>
                <w:szCs w:val="21"/>
              </w:rPr>
              <w:t>标有运行通道</w:t>
            </w:r>
            <w:r>
              <w:rPr>
                <w:rFonts w:hint="eastAsia" w:eastAsia="仿宋"/>
                <w:kern w:val="0"/>
                <w:szCs w:val="21"/>
              </w:rPr>
              <w:t>。</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73</w:t>
            </w:r>
            <w:r>
              <w:rPr>
                <w:rFonts w:hint="eastAsia" w:eastAsia="仿宋"/>
                <w:kern w:val="0"/>
                <w:szCs w:val="21"/>
              </w:rPr>
              <w:t>）</w:t>
            </w:r>
            <w:r>
              <w:rPr>
                <w:rFonts w:eastAsia="仿宋"/>
                <w:kern w:val="0"/>
                <w:szCs w:val="21"/>
              </w:rPr>
              <w:t>废弃不用的起重机械应及时拆除</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13.2</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3.2.1</w:t>
            </w:r>
          </w:p>
        </w:tc>
        <w:tc>
          <w:tcPr>
            <w:tcW w:w="3820" w:type="dxa"/>
            <w:tcMar>
              <w:left w:w="45" w:type="dxa"/>
              <w:right w:w="45" w:type="dxa"/>
            </w:tcMar>
            <w:vAlign w:val="center"/>
          </w:tcPr>
          <w:p>
            <w:pPr>
              <w:rPr>
                <w:rFonts w:eastAsia="仿宋"/>
                <w:kern w:val="0"/>
                <w:szCs w:val="21"/>
              </w:rPr>
            </w:pPr>
            <w:r>
              <w:rPr>
                <w:rFonts w:hint="eastAsia" w:eastAsia="仿宋"/>
                <w:color w:val="000000" w:themeColor="text1"/>
                <w:kern w:val="0"/>
                <w:szCs w:val="21"/>
                <w14:textFill>
                  <w14:solidFill>
                    <w14:schemeClr w14:val="tx1"/>
                  </w14:solidFill>
                </w14:textFill>
              </w:rPr>
              <w:t>压力容器使用登记、相关人员资格</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274</w:t>
            </w:r>
            <w:r>
              <w:rPr>
                <w:rFonts w:hint="eastAsia" w:eastAsia="仿宋"/>
                <w:kern w:val="0"/>
                <w:szCs w:val="21"/>
              </w:rPr>
              <w:t>）盛装气体或者液体，承载一定压力的密闭设备，其范围规定为最高工作压力大于或者等于0.1MPa（表压）的气体、液化气体和最高工作温度高于或者等于标准沸点的液体、容积大于或者等于30L且内直径（非圆形截面指截面内边界最大几何尺寸）大于或者等于150mm的固定式容器和移动式容器，以及氧舱，</w:t>
            </w:r>
            <w:r>
              <w:rPr>
                <w:rFonts w:eastAsia="仿宋"/>
                <w:bCs/>
                <w:kern w:val="0"/>
                <w:szCs w:val="21"/>
              </w:rPr>
              <w:t>须</w:t>
            </w:r>
            <w:r>
              <w:rPr>
                <w:rFonts w:eastAsia="仿宋"/>
                <w:kern w:val="0"/>
                <w:szCs w:val="21"/>
              </w:rPr>
              <w:t>取得《特种设备使用登记证》</w:t>
            </w:r>
            <w:r>
              <w:rPr>
                <w:rFonts w:hint="eastAsia" w:eastAsia="仿宋"/>
                <w:kern w:val="0"/>
                <w:szCs w:val="21"/>
              </w:rPr>
              <w:t>。</w:t>
            </w:r>
            <w:r>
              <w:rPr>
                <w:rFonts w:eastAsia="仿宋"/>
                <w:kern w:val="0"/>
                <w:szCs w:val="21"/>
              </w:rPr>
              <w:t>设备铭牌上标明为简单压力容器不需办理</w:t>
            </w:r>
            <w:r>
              <w:rPr>
                <w:rFonts w:hint="eastAsia" w:eastAsia="仿宋"/>
                <w:kern w:val="0"/>
                <w:szCs w:val="21"/>
              </w:rPr>
              <w:t>。（气瓶的安全检查要点见</w:t>
            </w:r>
            <w:r>
              <w:rPr>
                <w:rFonts w:eastAsia="仿宋"/>
                <w:kern w:val="0"/>
                <w:szCs w:val="21"/>
              </w:rPr>
              <w:t>9.6</w:t>
            </w:r>
            <w:r>
              <w:rPr>
                <w:rFonts w:hint="eastAsia" w:eastAsia="仿宋"/>
                <w:kern w:val="0"/>
                <w:szCs w:val="21"/>
              </w:rPr>
              <w:t>）。</w:t>
            </w:r>
          </w:p>
          <w:p>
            <w:pPr>
              <w:widowControl/>
              <w:rPr>
                <w:rFonts w:eastAsia="仿宋"/>
                <w:kern w:val="0"/>
                <w:szCs w:val="21"/>
              </w:rPr>
            </w:pPr>
            <w:r>
              <w:rPr>
                <w:rFonts w:hint="eastAsia" w:eastAsia="仿宋"/>
                <w:kern w:val="0"/>
              </w:rPr>
              <w:t>（</w:t>
            </w:r>
            <w:r>
              <w:rPr>
                <w:rFonts w:eastAsia="仿宋"/>
                <w:kern w:val="0"/>
              </w:rPr>
              <w:t>275</w:t>
            </w:r>
            <w:r>
              <w:rPr>
                <w:rFonts w:hint="eastAsia" w:eastAsia="仿宋"/>
                <w:kern w:val="0"/>
              </w:rPr>
              <w:t>）</w:t>
            </w:r>
            <w:r>
              <w:rPr>
                <w:rFonts w:eastAsia="仿宋"/>
                <w:kern w:val="0"/>
              </w:rPr>
              <w:t>快开门式压力容器操作人员、移动式压力容器充装人员、氧舱维护保养人员</w:t>
            </w:r>
            <w:r>
              <w:rPr>
                <w:rFonts w:hint="eastAsia" w:eastAsia="仿宋"/>
                <w:kern w:val="0"/>
              </w:rPr>
              <w:t>、特种设备安全管理员应</w:t>
            </w:r>
            <w:r>
              <w:rPr>
                <w:rFonts w:eastAsia="仿宋"/>
                <w:kern w:val="0"/>
                <w:szCs w:val="21"/>
              </w:rPr>
              <w:t>取得</w:t>
            </w:r>
            <w:r>
              <w:rPr>
                <w:rFonts w:hint="eastAsia" w:eastAsia="仿宋"/>
                <w:kern w:val="0"/>
                <w:szCs w:val="21"/>
              </w:rPr>
              <w:t>相应的</w:t>
            </w:r>
            <w:r>
              <w:rPr>
                <w:rFonts w:eastAsia="仿宋"/>
                <w:kern w:val="0"/>
                <w:szCs w:val="21"/>
              </w:rPr>
              <w:t>《特种设备</w:t>
            </w:r>
            <w:r>
              <w:rPr>
                <w:rFonts w:hint="eastAsia" w:eastAsia="仿宋"/>
                <w:kern w:val="0"/>
                <w:szCs w:val="21"/>
              </w:rPr>
              <w:t>安全管理和</w:t>
            </w:r>
            <w:r>
              <w:rPr>
                <w:rFonts w:eastAsia="仿宋"/>
                <w:kern w:val="0"/>
                <w:szCs w:val="21"/>
              </w:rPr>
              <w:t>作业人员证》，持证上岗，并每4年复审一次</w:t>
            </w:r>
            <w:r>
              <w:rPr>
                <w:rFonts w:hint="eastAsia" w:eastAsia="仿宋"/>
                <w:kern w:val="0"/>
                <w:szCs w:val="21"/>
              </w:rPr>
              <w:t>。</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13.2.2</w:t>
            </w:r>
          </w:p>
        </w:tc>
        <w:tc>
          <w:tcPr>
            <w:tcW w:w="3820" w:type="dxa"/>
            <w:tcMar>
              <w:left w:w="45" w:type="dxa"/>
              <w:right w:w="45" w:type="dxa"/>
            </w:tcMar>
            <w:vAlign w:val="center"/>
          </w:tcPr>
          <w:p>
            <w:pPr>
              <w:rPr>
                <w:rFonts w:eastAsia="仿宋"/>
                <w:kern w:val="0"/>
                <w:szCs w:val="21"/>
              </w:rPr>
            </w:pPr>
            <w:r>
              <w:rPr>
                <w:rFonts w:hint="eastAsia" w:eastAsia="仿宋"/>
                <w:kern w:val="0"/>
                <w:szCs w:val="21"/>
              </w:rPr>
              <w:t>压力容器定期检验</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w:t>
            </w:r>
            <w:r>
              <w:rPr>
                <w:rFonts w:eastAsia="仿宋"/>
                <w:kern w:val="0"/>
                <w:szCs w:val="21"/>
              </w:rPr>
              <w:t>276</w:t>
            </w:r>
            <w:r>
              <w:rPr>
                <w:rFonts w:hint="eastAsia" w:eastAsia="仿宋"/>
                <w:kern w:val="0"/>
                <w:szCs w:val="21"/>
              </w:rPr>
              <w:t>）委托有资质单位进行定期检验，并将定期检验合格证置于特种设备显著位置</w:t>
            </w:r>
          </w:p>
          <w:p>
            <w:pPr>
              <w:rPr>
                <w:rFonts w:eastAsia="仿宋"/>
                <w:kern w:val="0"/>
                <w:szCs w:val="21"/>
              </w:rPr>
            </w:pPr>
            <w:r>
              <w:rPr>
                <w:rFonts w:hint="eastAsia" w:eastAsia="仿宋"/>
                <w:kern w:val="0"/>
                <w:szCs w:val="21"/>
              </w:rPr>
              <w:t>（</w:t>
            </w:r>
            <w:r>
              <w:rPr>
                <w:rFonts w:eastAsia="仿宋"/>
                <w:kern w:val="0"/>
                <w:szCs w:val="21"/>
              </w:rPr>
              <w:t>277</w:t>
            </w:r>
            <w:r>
              <w:rPr>
                <w:rFonts w:hint="eastAsia" w:eastAsia="仿宋"/>
                <w:kern w:val="0"/>
                <w:szCs w:val="21"/>
              </w:rPr>
              <w:t>）</w:t>
            </w:r>
            <w:r>
              <w:rPr>
                <w:rFonts w:eastAsia="仿宋"/>
                <w:kern w:val="0"/>
                <w:szCs w:val="21"/>
              </w:rPr>
              <w:t>安全阀或压力表等附件</w:t>
            </w:r>
            <w:r>
              <w:rPr>
                <w:rFonts w:hint="eastAsia" w:eastAsia="仿宋"/>
                <w:kern w:val="0"/>
                <w:szCs w:val="21"/>
              </w:rPr>
              <w:t>须</w:t>
            </w:r>
            <w:r>
              <w:rPr>
                <w:rFonts w:eastAsia="仿宋"/>
                <w:kern w:val="0"/>
                <w:szCs w:val="21"/>
              </w:rPr>
              <w:t>委托有资质单位定期校验或检定</w:t>
            </w:r>
            <w:r>
              <w:rPr>
                <w:rFonts w:hint="eastAsia" w:eastAsia="仿宋"/>
                <w:kern w:val="0"/>
                <w:szCs w:val="21"/>
              </w:rPr>
              <w:t>。</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w:t>
            </w:r>
            <w:r>
              <w:rPr>
                <w:rFonts w:hint="eastAsia" w:eastAsia="仿宋"/>
                <w:kern w:val="0"/>
                <w:szCs w:val="21"/>
              </w:rPr>
              <w:t>3</w:t>
            </w:r>
          </w:p>
        </w:tc>
        <w:tc>
          <w:tcPr>
            <w:tcW w:w="3820" w:type="dxa"/>
            <w:tcMar>
              <w:left w:w="45" w:type="dxa"/>
              <w:right w:w="45" w:type="dxa"/>
            </w:tcMar>
            <w:vAlign w:val="center"/>
          </w:tcPr>
          <w:p>
            <w:pPr>
              <w:rPr>
                <w:rFonts w:eastAsia="仿宋"/>
                <w:kern w:val="0"/>
                <w:szCs w:val="21"/>
              </w:rPr>
            </w:pPr>
            <w:r>
              <w:rPr>
                <w:rFonts w:hint="eastAsia" w:eastAsia="仿宋"/>
                <w:kern w:val="0"/>
                <w:szCs w:val="21"/>
              </w:rPr>
              <w:t>压力容器使用管理</w:t>
            </w:r>
          </w:p>
        </w:tc>
        <w:tc>
          <w:tcPr>
            <w:tcW w:w="7660" w:type="dxa"/>
            <w:tcMar>
              <w:left w:w="45" w:type="dxa"/>
              <w:right w:w="45" w:type="dxa"/>
            </w:tcMar>
            <w:vAlign w:val="center"/>
          </w:tcPr>
          <w:p>
            <w:pPr>
              <w:rPr>
                <w:rFonts w:eastAsia="仿宋"/>
                <w:color w:val="000000" w:themeColor="text1"/>
                <w:kern w:val="0"/>
                <w:szCs w:val="21"/>
                <w14:textFill>
                  <w14:solidFill>
                    <w14:schemeClr w14:val="tx1"/>
                  </w14:solidFill>
                </w14:textFill>
              </w:rPr>
            </w:pPr>
            <w:r>
              <w:rPr>
                <w:rFonts w:hint="eastAsia" w:eastAsia="仿宋"/>
                <w:color w:val="000000" w:themeColor="text1"/>
                <w:kern w:val="0"/>
                <w:szCs w:val="21"/>
                <w14:textFill>
                  <w14:solidFill>
                    <w14:schemeClr w14:val="tx1"/>
                  </w14:solidFill>
                </w14:textFill>
              </w:rPr>
              <w:t>（</w:t>
            </w:r>
            <w:r>
              <w:rPr>
                <w:rFonts w:eastAsia="仿宋"/>
                <w:color w:val="000000" w:themeColor="text1"/>
                <w:kern w:val="0"/>
                <w:szCs w:val="21"/>
                <w14:textFill>
                  <w14:solidFill>
                    <w14:schemeClr w14:val="tx1"/>
                  </w14:solidFill>
                </w14:textFill>
              </w:rPr>
              <w:t>278</w:t>
            </w:r>
            <w:r>
              <w:rPr>
                <w:rFonts w:hint="eastAsia" w:eastAsia="仿宋"/>
                <w:color w:val="000000" w:themeColor="text1"/>
                <w:kern w:val="0"/>
                <w:szCs w:val="21"/>
                <w14:textFill>
                  <w14:solidFill>
                    <w14:schemeClr w14:val="tx1"/>
                  </w14:solidFill>
                </w14:textFill>
              </w:rPr>
              <w:t>）设置安全管理机构，配备安全管理负责人、安全管理人员和作业人员，建立各项安全管理制度，制定操作规程。</w:t>
            </w:r>
          </w:p>
          <w:p>
            <w:pPr>
              <w:rPr>
                <w:rFonts w:eastAsia="仿宋"/>
                <w:color w:val="000000" w:themeColor="text1"/>
                <w:kern w:val="0"/>
                <w:szCs w:val="21"/>
                <w14:textFill>
                  <w14:solidFill>
                    <w14:schemeClr w14:val="tx1"/>
                  </w14:solidFill>
                </w14:textFill>
              </w:rPr>
            </w:pPr>
            <w:r>
              <w:rPr>
                <w:rFonts w:hint="eastAsia" w:eastAsia="仿宋"/>
                <w:color w:val="000000" w:themeColor="text1"/>
                <w:kern w:val="0"/>
                <w:szCs w:val="21"/>
                <w14:textFill>
                  <w14:solidFill>
                    <w14:schemeClr w14:val="tx1"/>
                  </w14:solidFill>
                </w14:textFill>
              </w:rPr>
              <w:t>（2</w:t>
            </w:r>
            <w:r>
              <w:rPr>
                <w:rFonts w:eastAsia="仿宋"/>
                <w:color w:val="000000" w:themeColor="text1"/>
                <w:kern w:val="0"/>
                <w:szCs w:val="21"/>
                <w14:textFill>
                  <w14:solidFill>
                    <w14:schemeClr w14:val="tx1"/>
                  </w14:solidFill>
                </w14:textFill>
              </w:rPr>
              <w:t>79</w:t>
            </w:r>
            <w:r>
              <w:rPr>
                <w:rFonts w:hint="eastAsia" w:eastAsia="仿宋"/>
                <w:color w:val="000000" w:themeColor="text1"/>
                <w:kern w:val="0"/>
                <w:szCs w:val="21"/>
                <w14:textFill>
                  <w14:solidFill>
                    <w14:schemeClr w14:val="tx1"/>
                  </w14:solidFill>
                </w14:textFill>
              </w:rPr>
              <w:t>）实验室应经常巡回检查，发现异常及时处理，并做记录。</w:t>
            </w:r>
          </w:p>
          <w:p>
            <w:pPr>
              <w:rPr>
                <w:rFonts w:eastAsia="仿宋"/>
                <w:kern w:val="0"/>
                <w:szCs w:val="21"/>
              </w:rPr>
            </w:pPr>
            <w:r>
              <w:rPr>
                <w:rFonts w:hint="eastAsia" w:eastAsia="仿宋"/>
                <w:color w:val="000000" w:themeColor="text1"/>
                <w:kern w:val="0"/>
                <w:szCs w:val="21"/>
                <w14:textFill>
                  <w14:solidFill>
                    <w14:schemeClr w14:val="tx1"/>
                  </w14:solidFill>
                </w14:textFill>
              </w:rPr>
              <w:t>（</w:t>
            </w:r>
            <w:r>
              <w:rPr>
                <w:rFonts w:eastAsia="仿宋"/>
                <w:color w:val="000000" w:themeColor="text1"/>
                <w:kern w:val="0"/>
                <w:szCs w:val="21"/>
                <w14:textFill>
                  <w14:solidFill>
                    <w14:schemeClr w14:val="tx1"/>
                  </w14:solidFill>
                </w14:textFill>
              </w:rPr>
              <w:t>280</w:t>
            </w:r>
            <w:r>
              <w:rPr>
                <w:rFonts w:hint="eastAsia" w:eastAsia="仿宋"/>
                <w:color w:val="000000" w:themeColor="text1"/>
                <w:kern w:val="0"/>
                <w:szCs w:val="21"/>
                <w14:textFill>
                  <w14:solidFill>
                    <w14:schemeClr w14:val="tx1"/>
                  </w14:solidFill>
                </w14:textFill>
              </w:rPr>
              <w:t>）建立压力容器自行检查</w:t>
            </w:r>
            <w:r>
              <w:rPr>
                <w:rFonts w:hint="eastAsia" w:eastAsia="仿宋"/>
                <w:kern w:val="0"/>
                <w:szCs w:val="21"/>
              </w:rPr>
              <w:t>制度，对压力容器本体及其安全附件、装卸附件安全保护装置、测量调控装置、附属仪器仪表进行经常性维护保养，每月至少进行</w:t>
            </w:r>
            <w:r>
              <w:rPr>
                <w:rFonts w:eastAsia="仿宋"/>
                <w:kern w:val="0"/>
                <w:szCs w:val="21"/>
              </w:rPr>
              <w:t>1</w:t>
            </w:r>
            <w:r>
              <w:rPr>
                <w:rFonts w:hint="eastAsia" w:eastAsia="仿宋"/>
                <w:kern w:val="0"/>
                <w:szCs w:val="21"/>
              </w:rPr>
              <w:t>次月度检查，每年至少进行1次年度检查，并做记录。</w:t>
            </w:r>
          </w:p>
          <w:p>
            <w:pPr>
              <w:rPr>
                <w:rFonts w:eastAsia="仿宋"/>
                <w:kern w:val="0"/>
                <w:szCs w:val="21"/>
              </w:rPr>
            </w:pPr>
            <w:r>
              <w:rPr>
                <w:rFonts w:hint="eastAsia" w:eastAsia="仿宋"/>
                <w:color w:val="000000" w:themeColor="text1"/>
                <w:kern w:val="0"/>
                <w:szCs w:val="21"/>
                <w14:textFill>
                  <w14:solidFill>
                    <w14:schemeClr w14:val="tx1"/>
                  </w14:solidFill>
                </w14:textFill>
              </w:rPr>
              <w:t>（</w:t>
            </w:r>
            <w:r>
              <w:rPr>
                <w:rFonts w:eastAsia="仿宋"/>
                <w:color w:val="000000" w:themeColor="text1"/>
                <w:kern w:val="0"/>
                <w:szCs w:val="21"/>
                <w14:textFill>
                  <w14:solidFill>
                    <w14:schemeClr w14:val="tx1"/>
                  </w14:solidFill>
                </w14:textFill>
              </w:rPr>
              <w:t>281</w:t>
            </w:r>
            <w:r>
              <w:rPr>
                <w:rFonts w:hint="eastAsia" w:eastAsia="仿宋"/>
                <w:color w:val="000000" w:themeColor="text1"/>
                <w:kern w:val="0"/>
                <w:szCs w:val="21"/>
                <w14:textFill>
                  <w14:solidFill>
                    <w14:schemeClr w14:val="tx1"/>
                  </w14:solidFill>
                </w14:textFill>
              </w:rPr>
              <w:t>）</w:t>
            </w:r>
            <w:r>
              <w:rPr>
                <w:rFonts w:hint="eastAsia" w:eastAsia="仿宋"/>
                <w:kern w:val="0"/>
                <w:szCs w:val="21"/>
              </w:rPr>
              <w:t>简单压力容器也应建立设备安全管理档案。</w:t>
            </w:r>
          </w:p>
          <w:p>
            <w:pPr>
              <w:rPr>
                <w:rFonts w:eastAsia="仿宋"/>
                <w:kern w:val="0"/>
                <w:szCs w:val="21"/>
              </w:rPr>
            </w:pPr>
            <w:r>
              <w:rPr>
                <w:rFonts w:hint="eastAsia" w:eastAsia="仿宋"/>
                <w:kern w:val="0"/>
                <w:szCs w:val="21"/>
              </w:rPr>
              <w:t>（</w:t>
            </w:r>
            <w:r>
              <w:rPr>
                <w:rFonts w:eastAsia="仿宋"/>
                <w:kern w:val="0"/>
                <w:szCs w:val="21"/>
              </w:rPr>
              <w:t>282</w:t>
            </w:r>
            <w:r>
              <w:rPr>
                <w:rFonts w:hint="eastAsia" w:eastAsia="仿宋"/>
                <w:kern w:val="0"/>
                <w:szCs w:val="21"/>
              </w:rPr>
              <w:t>）盛装可燃、爆炸性气体的压力容器，其电气设施应防爆，电器开关和熔断器都应设置在明显位置。室外放置大型气罐应注意防雷。</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13.2.4</w:t>
            </w:r>
          </w:p>
        </w:tc>
        <w:tc>
          <w:tcPr>
            <w:tcW w:w="3820" w:type="dxa"/>
            <w:tcMar>
              <w:left w:w="45" w:type="dxa"/>
              <w:right w:w="45" w:type="dxa"/>
            </w:tcMar>
            <w:vAlign w:val="center"/>
          </w:tcPr>
          <w:p>
            <w:pPr>
              <w:rPr>
                <w:rFonts w:eastAsia="仿宋"/>
                <w:kern w:val="0"/>
                <w:szCs w:val="21"/>
              </w:rPr>
            </w:pPr>
            <w:r>
              <w:rPr>
                <w:rFonts w:hint="eastAsia" w:eastAsia="仿宋"/>
                <w:kern w:val="0"/>
                <w:szCs w:val="21"/>
              </w:rPr>
              <w:t>压力容器的使用年限及报废</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283</w:t>
            </w:r>
            <w:r>
              <w:rPr>
                <w:rFonts w:hint="eastAsia" w:eastAsia="仿宋"/>
                <w:kern w:val="0"/>
                <w:szCs w:val="21"/>
              </w:rPr>
              <w:t>）达到设计使用年限的压力容器应及时报废（未规定设计使用年限，但是使用超过</w:t>
            </w:r>
            <w:r>
              <w:rPr>
                <w:rFonts w:eastAsia="仿宋"/>
                <w:kern w:val="0"/>
                <w:szCs w:val="21"/>
              </w:rPr>
              <w:t>20</w:t>
            </w:r>
            <w:r>
              <w:rPr>
                <w:rFonts w:hint="eastAsia" w:eastAsia="仿宋"/>
                <w:kern w:val="0"/>
                <w:szCs w:val="21"/>
              </w:rPr>
              <w:t>年的压力容器视为达到使用年限），如若超期使用必须进行检验和安全评估。</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加热及制冷装置管理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87</w:t>
            </w:r>
            <w:r>
              <w:rPr>
                <w:rFonts w:hint="eastAsia" w:eastAsia="仿宋"/>
                <w:kern w:val="0"/>
                <w:szCs w:val="21"/>
              </w:rPr>
              <w:t>）</w:t>
            </w:r>
            <w:r>
              <w:rPr>
                <w:rFonts w:eastAsia="仿宋"/>
                <w:kern w:val="0"/>
                <w:szCs w:val="21"/>
              </w:rPr>
              <w:t>贮存危险化学品的冰箱应为防爆冰箱或经过防爆改造的冰箱，并在冰箱门上注明是否防爆</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88</w:t>
            </w:r>
            <w:r>
              <w:rPr>
                <w:rFonts w:hint="eastAsia" w:eastAsia="仿宋"/>
                <w:kern w:val="0"/>
                <w:szCs w:val="21"/>
              </w:rPr>
              <w:t>）</w:t>
            </w:r>
            <w:r>
              <w:rPr>
                <w:rFonts w:eastAsia="仿宋"/>
                <w:kern w:val="0"/>
                <w:szCs w:val="21"/>
              </w:rPr>
              <w:t>标识至少包括：名称、使用人、日期等，并经常清理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89</w:t>
            </w:r>
            <w:r>
              <w:rPr>
                <w:rFonts w:hint="eastAsia" w:eastAsia="仿宋"/>
                <w:kern w:val="0"/>
                <w:szCs w:val="21"/>
              </w:rPr>
              <w:t>）</w:t>
            </w:r>
            <w:r>
              <w:rPr>
                <w:rFonts w:eastAsia="仿宋"/>
                <w:kern w:val="0"/>
                <w:szCs w:val="21"/>
              </w:rPr>
              <w:t>实验室冰箱中试剂瓶螺口拧紧，无开口容器</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放置非实验用食品</w:t>
            </w:r>
            <w:r>
              <w:rPr>
                <w:rFonts w:hint="eastAsia" w:eastAsia="仿宋"/>
                <w:kern w:val="0"/>
                <w:szCs w:val="21"/>
              </w:rPr>
              <w:t>、药品。超低温冰箱门上有储物分区标识，置于走廊等区域的超低温冰箱须上锁。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90</w:t>
            </w:r>
            <w:r>
              <w:rPr>
                <w:rFonts w:hint="eastAsia" w:eastAsia="仿宋"/>
                <w:kern w:val="0"/>
                <w:szCs w:val="21"/>
              </w:rPr>
              <w:t>）</w:t>
            </w:r>
            <w:r>
              <w:rPr>
                <w:rFonts w:eastAsia="仿宋"/>
                <w:kern w:val="0"/>
                <w:szCs w:val="21"/>
              </w:rPr>
              <w:t>冰箱不超期使用（一般使用期限控制为10年），如超期使用</w:t>
            </w:r>
            <w:r>
              <w:rPr>
                <w:rFonts w:hint="eastAsia" w:eastAsia="仿宋"/>
                <w:kern w:val="0"/>
                <w:szCs w:val="21"/>
              </w:rPr>
              <w:t>须</w:t>
            </w:r>
            <w:r>
              <w:rPr>
                <w:rFonts w:eastAsia="仿宋"/>
                <w:kern w:val="0"/>
                <w:szCs w:val="21"/>
              </w:rPr>
              <w:t>经审批</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91</w:t>
            </w:r>
            <w:r>
              <w:rPr>
                <w:rFonts w:hint="eastAsia" w:eastAsia="仿宋"/>
                <w:kern w:val="0"/>
                <w:szCs w:val="21"/>
              </w:rPr>
              <w:t>）</w:t>
            </w:r>
            <w:r>
              <w:rPr>
                <w:rFonts w:eastAsia="仿宋"/>
                <w:kern w:val="0"/>
                <w:szCs w:val="21"/>
              </w:rPr>
              <w:t>冰箱周围留出足够空间，周围不堆放杂物，不影响散热</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92</w:t>
            </w:r>
            <w:r>
              <w:rPr>
                <w:rFonts w:hint="eastAsia" w:eastAsia="仿宋"/>
                <w:kern w:val="0"/>
                <w:szCs w:val="21"/>
              </w:rPr>
              <w:t>）</w:t>
            </w:r>
            <w:r>
              <w:rPr>
                <w:rFonts w:eastAsia="仿宋"/>
                <w:kern w:val="0"/>
                <w:szCs w:val="21"/>
              </w:rPr>
              <w:t>烘箱、电阻炉不超期使用（一般使用期限控制为12年），如超期使用</w:t>
            </w:r>
            <w:r>
              <w:rPr>
                <w:rFonts w:hint="eastAsia" w:eastAsia="仿宋"/>
                <w:kern w:val="0"/>
                <w:szCs w:val="21"/>
              </w:rPr>
              <w:t>须</w:t>
            </w:r>
            <w:r>
              <w:rPr>
                <w:rFonts w:eastAsia="仿宋"/>
                <w:kern w:val="0"/>
                <w:szCs w:val="21"/>
              </w:rPr>
              <w:t>经审批</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93</w:t>
            </w:r>
            <w:r>
              <w:rPr>
                <w:rFonts w:hint="eastAsia" w:eastAsia="仿宋"/>
                <w:kern w:val="0"/>
                <w:szCs w:val="21"/>
              </w:rPr>
              <w:t>）</w:t>
            </w:r>
            <w:r>
              <w:rPr>
                <w:rFonts w:eastAsia="仿宋"/>
                <w:kern w:val="0"/>
                <w:szCs w:val="21"/>
              </w:rPr>
              <w:t>加热设备应放置在通风干燥处，不直接放置在木桌、木板等易燃物品上，周围有一定的散热空间，设备旁不能放置易燃易爆化学品、</w:t>
            </w:r>
            <w:r>
              <w:rPr>
                <w:rFonts w:hint="eastAsia" w:eastAsia="仿宋"/>
                <w:kern w:val="0"/>
                <w:szCs w:val="21"/>
              </w:rPr>
              <w:t>气</w:t>
            </w:r>
            <w:r>
              <w:rPr>
                <w:rFonts w:eastAsia="仿宋"/>
                <w:kern w:val="0"/>
                <w:szCs w:val="21"/>
              </w:rPr>
              <w:t>瓶、冰箱、杂物等</w:t>
            </w:r>
            <w:r>
              <w:rPr>
                <w:rFonts w:hint="eastAsia" w:eastAsia="仿宋"/>
                <w:kern w:val="0"/>
                <w:szCs w:val="21"/>
              </w:rPr>
              <w:t>，应远离配电箱、插座、接线板等设备。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94</w:t>
            </w:r>
            <w:r>
              <w:rPr>
                <w:rFonts w:hint="eastAsia" w:eastAsia="仿宋"/>
                <w:kern w:val="0"/>
                <w:szCs w:val="21"/>
              </w:rPr>
              <w:t>）</w:t>
            </w:r>
            <w:r>
              <w:rPr>
                <w:rFonts w:eastAsia="仿宋"/>
                <w:kern w:val="0"/>
                <w:szCs w:val="21"/>
              </w:rPr>
              <w:t>加热设备周边醒目位置张贴有高温警示标识，并有必要的防护措施</w:t>
            </w:r>
            <w:r>
              <w:rPr>
                <w:rFonts w:hint="eastAsia" w:eastAsia="仿宋"/>
                <w:kern w:val="0"/>
                <w:szCs w:val="21"/>
              </w:rPr>
              <w:t>，</w:t>
            </w:r>
            <w:r>
              <w:rPr>
                <w:rFonts w:eastAsia="仿宋"/>
                <w:kern w:val="0"/>
                <w:szCs w:val="21"/>
              </w:rPr>
              <w:t>张贴有安全操作规程、警示标识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95</w:t>
            </w:r>
            <w:r>
              <w:rPr>
                <w:rFonts w:hint="eastAsia" w:eastAsia="仿宋"/>
                <w:kern w:val="0"/>
                <w:szCs w:val="21"/>
              </w:rPr>
              <w:t>）</w:t>
            </w:r>
            <w:r>
              <w:rPr>
                <w:rFonts w:eastAsia="仿宋"/>
                <w:kern w:val="0"/>
                <w:szCs w:val="21"/>
              </w:rPr>
              <w:t>烘箱等加热设备内不准烘烤易燃易爆试剂及易燃物品</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96</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使用塑料筐等易燃容器盛放实验物品在烘箱等加热设备内烘烤</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97</w:t>
            </w:r>
            <w:r>
              <w:rPr>
                <w:rFonts w:hint="eastAsia" w:eastAsia="仿宋"/>
                <w:kern w:val="0"/>
                <w:szCs w:val="21"/>
              </w:rPr>
              <w:t>）</w:t>
            </w:r>
            <w:r>
              <w:rPr>
                <w:rFonts w:eastAsia="仿宋"/>
                <w:kern w:val="0"/>
                <w:szCs w:val="21"/>
              </w:rPr>
              <w:t>使用</w:t>
            </w:r>
            <w:r>
              <w:rPr>
                <w:rFonts w:hint="eastAsia" w:eastAsia="仿宋"/>
                <w:kern w:val="0"/>
                <w:szCs w:val="21"/>
              </w:rPr>
              <w:t>烘箱</w:t>
            </w:r>
            <w:r>
              <w:rPr>
                <w:rFonts w:eastAsia="仿宋"/>
                <w:kern w:val="0"/>
                <w:szCs w:val="21"/>
              </w:rPr>
              <w:t>完毕，清理物品、切断电源，确认其冷却至安全温度后方能离开</w:t>
            </w:r>
          </w:p>
          <w:p>
            <w:pPr>
              <w:widowControl/>
              <w:spacing w:line="300" w:lineRule="exact"/>
              <w:rPr>
                <w:rFonts w:eastAsia="仿宋"/>
                <w:kern w:val="0"/>
                <w:szCs w:val="21"/>
              </w:rPr>
            </w:pPr>
            <w:r>
              <w:rPr>
                <w:rFonts w:hint="eastAsia" w:eastAsia="仿宋"/>
                <w:kern w:val="0"/>
                <w:szCs w:val="21"/>
              </w:rPr>
              <w:t>（2</w:t>
            </w:r>
            <w:r>
              <w:rPr>
                <w:rFonts w:eastAsia="仿宋"/>
                <w:kern w:val="0"/>
                <w:szCs w:val="21"/>
              </w:rPr>
              <w:t>98</w:t>
            </w:r>
            <w:r>
              <w:rPr>
                <w:rFonts w:hint="eastAsia" w:eastAsia="仿宋"/>
                <w:kern w:val="0"/>
                <w:szCs w:val="21"/>
              </w:rPr>
              <w:t>）</w:t>
            </w:r>
            <w:r>
              <w:rPr>
                <w:rFonts w:eastAsia="仿宋"/>
                <w:kern w:val="0"/>
                <w:szCs w:val="21"/>
              </w:rPr>
              <w:t>使用电阻炉等明火设备时有人值守</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99</w:t>
            </w:r>
            <w:r>
              <w:rPr>
                <w:rFonts w:hint="eastAsia" w:eastAsia="仿宋"/>
                <w:kern w:val="0"/>
                <w:szCs w:val="21"/>
              </w:rPr>
              <w:t>）</w:t>
            </w:r>
            <w:r>
              <w:rPr>
                <w:rFonts w:eastAsia="仿宋"/>
                <w:kern w:val="0"/>
                <w:szCs w:val="21"/>
              </w:rPr>
              <w:t>使用加热设备时，温度较高的实验</w:t>
            </w:r>
            <w:r>
              <w:rPr>
                <w:rFonts w:hint="eastAsia" w:eastAsia="仿宋"/>
                <w:kern w:val="0"/>
                <w:szCs w:val="21"/>
              </w:rPr>
              <w:t>须</w:t>
            </w:r>
            <w:r>
              <w:rPr>
                <w:rFonts w:eastAsia="仿宋"/>
                <w:kern w:val="0"/>
                <w:szCs w:val="21"/>
              </w:rPr>
              <w:t>有人值守或有实时监控措施</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13.4.5</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300</w:t>
            </w:r>
            <w:r>
              <w:rPr>
                <w:rFonts w:hint="eastAsia" w:eastAsia="仿宋"/>
                <w:kern w:val="0"/>
                <w:szCs w:val="21"/>
              </w:rPr>
              <w:t>）</w:t>
            </w:r>
            <w:r>
              <w:rPr>
                <w:rFonts w:eastAsia="仿宋"/>
                <w:kern w:val="0"/>
                <w:szCs w:val="21"/>
              </w:rPr>
              <w:t>涉及化学品的实验室不使用明火电炉</w:t>
            </w:r>
            <w:r>
              <w:rPr>
                <w:rFonts w:hint="eastAsia" w:eastAsia="仿宋"/>
                <w:kern w:val="0"/>
                <w:szCs w:val="21"/>
              </w:rPr>
              <w:t>。</w:t>
            </w:r>
            <w:r>
              <w:rPr>
                <w:rFonts w:eastAsia="仿宋"/>
                <w:kern w:val="0"/>
                <w:szCs w:val="21"/>
              </w:rPr>
              <w:t>如必须使用，须有安全防范措施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01</w:t>
            </w:r>
            <w:r>
              <w:rPr>
                <w:rFonts w:hint="eastAsia" w:eastAsia="仿宋"/>
                <w:kern w:val="0"/>
                <w:szCs w:val="21"/>
              </w:rPr>
              <w:t>）</w:t>
            </w:r>
            <w:r>
              <w:rPr>
                <w:rFonts w:eastAsia="仿宋"/>
                <w:kern w:val="0"/>
                <w:szCs w:val="21"/>
              </w:rPr>
              <w:t>不使用明火电炉加热易燃易爆试剂</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02</w:t>
            </w:r>
            <w:r>
              <w:rPr>
                <w:rFonts w:hint="eastAsia" w:eastAsia="仿宋"/>
                <w:kern w:val="0"/>
                <w:szCs w:val="21"/>
              </w:rPr>
              <w:t>）</w:t>
            </w:r>
            <w:r>
              <w:rPr>
                <w:rFonts w:eastAsia="仿宋"/>
                <w:kern w:val="0"/>
                <w:szCs w:val="21"/>
              </w:rPr>
              <w:t>明火电炉、电吹风、电热枪等用毕，须及时拔除电源插头</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03</w:t>
            </w:r>
            <w:r>
              <w:rPr>
                <w:rFonts w:hint="eastAsia" w:eastAsia="仿宋"/>
                <w:kern w:val="0"/>
                <w:szCs w:val="21"/>
              </w:rPr>
              <w:t>）</w:t>
            </w:r>
            <w:r>
              <w:rPr>
                <w:rFonts w:eastAsia="仿宋"/>
                <w:kern w:val="0"/>
                <w:szCs w:val="21"/>
              </w:rPr>
              <w:t>不</w:t>
            </w:r>
            <w:r>
              <w:rPr>
                <w:rFonts w:hint="eastAsia" w:eastAsia="仿宋"/>
                <w:kern w:val="0"/>
                <w:szCs w:val="21"/>
              </w:rPr>
              <w:t>可</w:t>
            </w:r>
            <w:r>
              <w:rPr>
                <w:rFonts w:eastAsia="仿宋"/>
                <w:kern w:val="0"/>
                <w:szCs w:val="21"/>
              </w:rPr>
              <w:t>用纸质、木质等材料自制红外灯烘箱</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bl>
    <w:p>
      <w:pPr>
        <w:adjustRightInd w:val="0"/>
        <w:snapToGrid w:val="0"/>
        <w:spacing w:before="156" w:beforeLines="50"/>
        <w:rPr>
          <w:rFonts w:eastAsia="仿宋"/>
          <w:color w:val="000000" w:themeColor="text1"/>
          <w14:textFill>
            <w14:solidFill>
              <w14:schemeClr w14:val="tx1"/>
            </w14:solidFill>
          </w14:textFill>
        </w:rPr>
      </w:pPr>
    </w:p>
    <w:sectPr>
      <w:footerReference r:id="rId3" w:type="default"/>
      <w:pgSz w:w="16838" w:h="11906" w:orient="landscape"/>
      <w:pgMar w:top="964" w:right="1587"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22</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zYjc0NzM3YTgyOGIwZDU1NmJiYzhlZTBkNTJlZDcifQ=="/>
  </w:docVars>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7E9"/>
    <w:rsid w:val="00025D3E"/>
    <w:rsid w:val="00027CE8"/>
    <w:rsid w:val="00032348"/>
    <w:rsid w:val="00032864"/>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7E2"/>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099A"/>
    <w:rsid w:val="0007264E"/>
    <w:rsid w:val="000730A7"/>
    <w:rsid w:val="000733A6"/>
    <w:rsid w:val="000740FE"/>
    <w:rsid w:val="00074118"/>
    <w:rsid w:val="00075121"/>
    <w:rsid w:val="00075372"/>
    <w:rsid w:val="000758AC"/>
    <w:rsid w:val="000774B2"/>
    <w:rsid w:val="00077C5B"/>
    <w:rsid w:val="000841ED"/>
    <w:rsid w:val="00085302"/>
    <w:rsid w:val="00085554"/>
    <w:rsid w:val="00085646"/>
    <w:rsid w:val="00085E6C"/>
    <w:rsid w:val="000862FF"/>
    <w:rsid w:val="00087332"/>
    <w:rsid w:val="0009012A"/>
    <w:rsid w:val="00090D7D"/>
    <w:rsid w:val="000927AE"/>
    <w:rsid w:val="00094034"/>
    <w:rsid w:val="00095097"/>
    <w:rsid w:val="0009613B"/>
    <w:rsid w:val="0009716A"/>
    <w:rsid w:val="00097205"/>
    <w:rsid w:val="000A2040"/>
    <w:rsid w:val="000A29D9"/>
    <w:rsid w:val="000A3CF6"/>
    <w:rsid w:val="000A4456"/>
    <w:rsid w:val="000A4F36"/>
    <w:rsid w:val="000A7A7A"/>
    <w:rsid w:val="000B02CC"/>
    <w:rsid w:val="000B1A65"/>
    <w:rsid w:val="000B1EB0"/>
    <w:rsid w:val="000B2614"/>
    <w:rsid w:val="000B2D2C"/>
    <w:rsid w:val="000B340F"/>
    <w:rsid w:val="000B3CC6"/>
    <w:rsid w:val="000B3E2E"/>
    <w:rsid w:val="000B4F55"/>
    <w:rsid w:val="000B58F2"/>
    <w:rsid w:val="000B60EE"/>
    <w:rsid w:val="000B633A"/>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2B06"/>
    <w:rsid w:val="000E2BD1"/>
    <w:rsid w:val="000E624C"/>
    <w:rsid w:val="000E6B3A"/>
    <w:rsid w:val="000E6E22"/>
    <w:rsid w:val="000F1C49"/>
    <w:rsid w:val="000F2192"/>
    <w:rsid w:val="000F23FC"/>
    <w:rsid w:val="000F26AC"/>
    <w:rsid w:val="000F33FC"/>
    <w:rsid w:val="000F3BF9"/>
    <w:rsid w:val="000F3E6D"/>
    <w:rsid w:val="000F55F2"/>
    <w:rsid w:val="000F5D66"/>
    <w:rsid w:val="000F5DE4"/>
    <w:rsid w:val="000F6802"/>
    <w:rsid w:val="000F71A8"/>
    <w:rsid w:val="001008AD"/>
    <w:rsid w:val="00100E66"/>
    <w:rsid w:val="001013B9"/>
    <w:rsid w:val="0010152B"/>
    <w:rsid w:val="00102F64"/>
    <w:rsid w:val="001035DF"/>
    <w:rsid w:val="001040F3"/>
    <w:rsid w:val="00105938"/>
    <w:rsid w:val="00107176"/>
    <w:rsid w:val="00107337"/>
    <w:rsid w:val="001073B8"/>
    <w:rsid w:val="00107532"/>
    <w:rsid w:val="00107F92"/>
    <w:rsid w:val="001112B5"/>
    <w:rsid w:val="00111859"/>
    <w:rsid w:val="001119FB"/>
    <w:rsid w:val="00111AA5"/>
    <w:rsid w:val="00113C6B"/>
    <w:rsid w:val="00114210"/>
    <w:rsid w:val="00114A79"/>
    <w:rsid w:val="00117113"/>
    <w:rsid w:val="00117E7E"/>
    <w:rsid w:val="00120B03"/>
    <w:rsid w:val="00120D87"/>
    <w:rsid w:val="00120EAE"/>
    <w:rsid w:val="00120EFB"/>
    <w:rsid w:val="00121081"/>
    <w:rsid w:val="001211F9"/>
    <w:rsid w:val="0012236F"/>
    <w:rsid w:val="00122754"/>
    <w:rsid w:val="00122820"/>
    <w:rsid w:val="0012290E"/>
    <w:rsid w:val="0012298A"/>
    <w:rsid w:val="00123622"/>
    <w:rsid w:val="001241E5"/>
    <w:rsid w:val="00124A64"/>
    <w:rsid w:val="00124E9A"/>
    <w:rsid w:val="00125C51"/>
    <w:rsid w:val="00125E2C"/>
    <w:rsid w:val="00125E66"/>
    <w:rsid w:val="00126CE4"/>
    <w:rsid w:val="0012755C"/>
    <w:rsid w:val="00131CE5"/>
    <w:rsid w:val="00132CA5"/>
    <w:rsid w:val="001334D8"/>
    <w:rsid w:val="00135444"/>
    <w:rsid w:val="00135DBD"/>
    <w:rsid w:val="0013645C"/>
    <w:rsid w:val="00136E51"/>
    <w:rsid w:val="001377DF"/>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4FF6"/>
    <w:rsid w:val="00166F15"/>
    <w:rsid w:val="00170665"/>
    <w:rsid w:val="00171905"/>
    <w:rsid w:val="0017248E"/>
    <w:rsid w:val="001737D6"/>
    <w:rsid w:val="0017389B"/>
    <w:rsid w:val="00173F8C"/>
    <w:rsid w:val="001748A0"/>
    <w:rsid w:val="00175BFD"/>
    <w:rsid w:val="00175F72"/>
    <w:rsid w:val="0017785B"/>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9FA"/>
    <w:rsid w:val="001A4DD0"/>
    <w:rsid w:val="001A4EC2"/>
    <w:rsid w:val="001A70CA"/>
    <w:rsid w:val="001A7A73"/>
    <w:rsid w:val="001A7BF6"/>
    <w:rsid w:val="001B00C2"/>
    <w:rsid w:val="001B0B26"/>
    <w:rsid w:val="001B1667"/>
    <w:rsid w:val="001B16DB"/>
    <w:rsid w:val="001B1CF6"/>
    <w:rsid w:val="001B23B2"/>
    <w:rsid w:val="001B2652"/>
    <w:rsid w:val="001B2B5D"/>
    <w:rsid w:val="001B4744"/>
    <w:rsid w:val="001B6C41"/>
    <w:rsid w:val="001B7928"/>
    <w:rsid w:val="001C0804"/>
    <w:rsid w:val="001C0BE4"/>
    <w:rsid w:val="001C1543"/>
    <w:rsid w:val="001C40FD"/>
    <w:rsid w:val="001C631D"/>
    <w:rsid w:val="001C6397"/>
    <w:rsid w:val="001C67CC"/>
    <w:rsid w:val="001C6AB0"/>
    <w:rsid w:val="001C70FA"/>
    <w:rsid w:val="001C75E4"/>
    <w:rsid w:val="001D001C"/>
    <w:rsid w:val="001D0302"/>
    <w:rsid w:val="001D085A"/>
    <w:rsid w:val="001D115C"/>
    <w:rsid w:val="001D1470"/>
    <w:rsid w:val="001D1664"/>
    <w:rsid w:val="001D1670"/>
    <w:rsid w:val="001D1733"/>
    <w:rsid w:val="001D232E"/>
    <w:rsid w:val="001D2C13"/>
    <w:rsid w:val="001D302D"/>
    <w:rsid w:val="001D3868"/>
    <w:rsid w:val="001D46C5"/>
    <w:rsid w:val="001D5AB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6089"/>
    <w:rsid w:val="001F73CE"/>
    <w:rsid w:val="001F752B"/>
    <w:rsid w:val="001F7EA7"/>
    <w:rsid w:val="00200A3D"/>
    <w:rsid w:val="00200C3C"/>
    <w:rsid w:val="00201399"/>
    <w:rsid w:val="0020295B"/>
    <w:rsid w:val="00202F43"/>
    <w:rsid w:val="0020357E"/>
    <w:rsid w:val="00204B76"/>
    <w:rsid w:val="00204BEB"/>
    <w:rsid w:val="002060B3"/>
    <w:rsid w:val="00207FEC"/>
    <w:rsid w:val="00210B50"/>
    <w:rsid w:val="00211A37"/>
    <w:rsid w:val="00212E79"/>
    <w:rsid w:val="002141F2"/>
    <w:rsid w:val="002146ED"/>
    <w:rsid w:val="00214CA3"/>
    <w:rsid w:val="00216729"/>
    <w:rsid w:val="00217B60"/>
    <w:rsid w:val="00222AE3"/>
    <w:rsid w:val="002249E7"/>
    <w:rsid w:val="00224CAF"/>
    <w:rsid w:val="002251BC"/>
    <w:rsid w:val="00225846"/>
    <w:rsid w:val="00225B7D"/>
    <w:rsid w:val="00225F53"/>
    <w:rsid w:val="00226F9D"/>
    <w:rsid w:val="002275B0"/>
    <w:rsid w:val="00227809"/>
    <w:rsid w:val="00227E37"/>
    <w:rsid w:val="00230750"/>
    <w:rsid w:val="00231CB9"/>
    <w:rsid w:val="00232026"/>
    <w:rsid w:val="0023309C"/>
    <w:rsid w:val="002336B8"/>
    <w:rsid w:val="00236EE4"/>
    <w:rsid w:val="0023790C"/>
    <w:rsid w:val="00237BBB"/>
    <w:rsid w:val="00237EBE"/>
    <w:rsid w:val="002401F5"/>
    <w:rsid w:val="00241712"/>
    <w:rsid w:val="00241A97"/>
    <w:rsid w:val="00242483"/>
    <w:rsid w:val="00242B32"/>
    <w:rsid w:val="00244389"/>
    <w:rsid w:val="00245D34"/>
    <w:rsid w:val="00246398"/>
    <w:rsid w:val="00250BDC"/>
    <w:rsid w:val="00251B41"/>
    <w:rsid w:val="002542FD"/>
    <w:rsid w:val="002543F0"/>
    <w:rsid w:val="00254981"/>
    <w:rsid w:val="00255794"/>
    <w:rsid w:val="00255C8C"/>
    <w:rsid w:val="00255D52"/>
    <w:rsid w:val="00260336"/>
    <w:rsid w:val="00260852"/>
    <w:rsid w:val="00261941"/>
    <w:rsid w:val="00262577"/>
    <w:rsid w:val="00263347"/>
    <w:rsid w:val="0026365C"/>
    <w:rsid w:val="002655DC"/>
    <w:rsid w:val="00266A2B"/>
    <w:rsid w:val="00267503"/>
    <w:rsid w:val="0027038D"/>
    <w:rsid w:val="002709C1"/>
    <w:rsid w:val="002717FD"/>
    <w:rsid w:val="002719EB"/>
    <w:rsid w:val="00271D7A"/>
    <w:rsid w:val="002722D6"/>
    <w:rsid w:val="00275E3C"/>
    <w:rsid w:val="00275E7D"/>
    <w:rsid w:val="00275F18"/>
    <w:rsid w:val="00276BD3"/>
    <w:rsid w:val="00276E06"/>
    <w:rsid w:val="00277FBA"/>
    <w:rsid w:val="00281C08"/>
    <w:rsid w:val="0028289C"/>
    <w:rsid w:val="00282D6E"/>
    <w:rsid w:val="002831E9"/>
    <w:rsid w:val="00283339"/>
    <w:rsid w:val="0028397F"/>
    <w:rsid w:val="0028528B"/>
    <w:rsid w:val="00285831"/>
    <w:rsid w:val="002876BC"/>
    <w:rsid w:val="00290798"/>
    <w:rsid w:val="002914AD"/>
    <w:rsid w:val="00291F5A"/>
    <w:rsid w:val="00294CFE"/>
    <w:rsid w:val="00294FEE"/>
    <w:rsid w:val="00296302"/>
    <w:rsid w:val="00296791"/>
    <w:rsid w:val="00297386"/>
    <w:rsid w:val="002A0679"/>
    <w:rsid w:val="002A1F9C"/>
    <w:rsid w:val="002A201B"/>
    <w:rsid w:val="002A2A2E"/>
    <w:rsid w:val="002A35AC"/>
    <w:rsid w:val="002A68D5"/>
    <w:rsid w:val="002A6CBD"/>
    <w:rsid w:val="002A79BC"/>
    <w:rsid w:val="002B15B1"/>
    <w:rsid w:val="002B1B18"/>
    <w:rsid w:val="002B2B11"/>
    <w:rsid w:val="002B3ACD"/>
    <w:rsid w:val="002B5ED3"/>
    <w:rsid w:val="002B5FD1"/>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1EB8"/>
    <w:rsid w:val="002E2D3E"/>
    <w:rsid w:val="002E3485"/>
    <w:rsid w:val="002E3E8F"/>
    <w:rsid w:val="002E4C01"/>
    <w:rsid w:val="002E55BE"/>
    <w:rsid w:val="002F09FF"/>
    <w:rsid w:val="002F1086"/>
    <w:rsid w:val="002F214B"/>
    <w:rsid w:val="002F2441"/>
    <w:rsid w:val="002F2870"/>
    <w:rsid w:val="002F332F"/>
    <w:rsid w:val="002F33BB"/>
    <w:rsid w:val="002F422D"/>
    <w:rsid w:val="002F4283"/>
    <w:rsid w:val="002F46C6"/>
    <w:rsid w:val="002F4859"/>
    <w:rsid w:val="002F60AB"/>
    <w:rsid w:val="002F60F0"/>
    <w:rsid w:val="002F63D6"/>
    <w:rsid w:val="002F6EA9"/>
    <w:rsid w:val="002F7375"/>
    <w:rsid w:val="003012E3"/>
    <w:rsid w:val="00302310"/>
    <w:rsid w:val="003044AB"/>
    <w:rsid w:val="00310ABE"/>
    <w:rsid w:val="00312077"/>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359BA"/>
    <w:rsid w:val="0034157D"/>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3730"/>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76B"/>
    <w:rsid w:val="00377F67"/>
    <w:rsid w:val="00380A30"/>
    <w:rsid w:val="00381C42"/>
    <w:rsid w:val="00381E9D"/>
    <w:rsid w:val="00382021"/>
    <w:rsid w:val="003843B1"/>
    <w:rsid w:val="00384A4D"/>
    <w:rsid w:val="00384F21"/>
    <w:rsid w:val="00387213"/>
    <w:rsid w:val="00387D20"/>
    <w:rsid w:val="0039076A"/>
    <w:rsid w:val="003910BA"/>
    <w:rsid w:val="00391CDC"/>
    <w:rsid w:val="00391EDF"/>
    <w:rsid w:val="003928D6"/>
    <w:rsid w:val="0039330B"/>
    <w:rsid w:val="00394BF6"/>
    <w:rsid w:val="003968EA"/>
    <w:rsid w:val="003979AA"/>
    <w:rsid w:val="003A07B3"/>
    <w:rsid w:val="003A0816"/>
    <w:rsid w:val="003A108E"/>
    <w:rsid w:val="003A16FA"/>
    <w:rsid w:val="003A1BC1"/>
    <w:rsid w:val="003A30A2"/>
    <w:rsid w:val="003A363C"/>
    <w:rsid w:val="003A4EDD"/>
    <w:rsid w:val="003A514A"/>
    <w:rsid w:val="003A6E6B"/>
    <w:rsid w:val="003A7581"/>
    <w:rsid w:val="003A7A18"/>
    <w:rsid w:val="003A7E61"/>
    <w:rsid w:val="003B1481"/>
    <w:rsid w:val="003B319C"/>
    <w:rsid w:val="003B63D3"/>
    <w:rsid w:val="003B6FBC"/>
    <w:rsid w:val="003B7D8E"/>
    <w:rsid w:val="003C039B"/>
    <w:rsid w:val="003C056F"/>
    <w:rsid w:val="003C1E2E"/>
    <w:rsid w:val="003C22F8"/>
    <w:rsid w:val="003C2A42"/>
    <w:rsid w:val="003C44F0"/>
    <w:rsid w:val="003C6ABB"/>
    <w:rsid w:val="003C7F9A"/>
    <w:rsid w:val="003D0D4F"/>
    <w:rsid w:val="003D0E76"/>
    <w:rsid w:val="003D1223"/>
    <w:rsid w:val="003D175F"/>
    <w:rsid w:val="003D3C99"/>
    <w:rsid w:val="003D43C4"/>
    <w:rsid w:val="003D509D"/>
    <w:rsid w:val="003D5573"/>
    <w:rsid w:val="003D6177"/>
    <w:rsid w:val="003E49C0"/>
    <w:rsid w:val="003E5997"/>
    <w:rsid w:val="003E6F3F"/>
    <w:rsid w:val="003E712C"/>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AE0"/>
    <w:rsid w:val="00407B11"/>
    <w:rsid w:val="00407B45"/>
    <w:rsid w:val="00410409"/>
    <w:rsid w:val="00410D5F"/>
    <w:rsid w:val="00410DAB"/>
    <w:rsid w:val="00411B39"/>
    <w:rsid w:val="00411FB9"/>
    <w:rsid w:val="004130BD"/>
    <w:rsid w:val="00414256"/>
    <w:rsid w:val="00414333"/>
    <w:rsid w:val="00414E69"/>
    <w:rsid w:val="004153D4"/>
    <w:rsid w:val="00415984"/>
    <w:rsid w:val="004203B0"/>
    <w:rsid w:val="00420F30"/>
    <w:rsid w:val="004213E8"/>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670"/>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273"/>
    <w:rsid w:val="00466B8C"/>
    <w:rsid w:val="00466C97"/>
    <w:rsid w:val="00466EA6"/>
    <w:rsid w:val="00472034"/>
    <w:rsid w:val="00472D42"/>
    <w:rsid w:val="00472DCD"/>
    <w:rsid w:val="004735DF"/>
    <w:rsid w:val="0047428E"/>
    <w:rsid w:val="0047457E"/>
    <w:rsid w:val="004753DB"/>
    <w:rsid w:val="00475423"/>
    <w:rsid w:val="00477A12"/>
    <w:rsid w:val="004805DC"/>
    <w:rsid w:val="00481550"/>
    <w:rsid w:val="00482197"/>
    <w:rsid w:val="004826F7"/>
    <w:rsid w:val="00482F12"/>
    <w:rsid w:val="00486088"/>
    <w:rsid w:val="00486E81"/>
    <w:rsid w:val="00486EF1"/>
    <w:rsid w:val="00487029"/>
    <w:rsid w:val="004904F3"/>
    <w:rsid w:val="004927BE"/>
    <w:rsid w:val="00492BE0"/>
    <w:rsid w:val="00492BE2"/>
    <w:rsid w:val="00494721"/>
    <w:rsid w:val="00494FEE"/>
    <w:rsid w:val="0049526A"/>
    <w:rsid w:val="00495560"/>
    <w:rsid w:val="0049606C"/>
    <w:rsid w:val="00496A2B"/>
    <w:rsid w:val="0049748F"/>
    <w:rsid w:val="00497983"/>
    <w:rsid w:val="004A0637"/>
    <w:rsid w:val="004A064E"/>
    <w:rsid w:val="004A088C"/>
    <w:rsid w:val="004A1A45"/>
    <w:rsid w:val="004A1AE7"/>
    <w:rsid w:val="004A2698"/>
    <w:rsid w:val="004A2A3B"/>
    <w:rsid w:val="004A3692"/>
    <w:rsid w:val="004A60DD"/>
    <w:rsid w:val="004B0C53"/>
    <w:rsid w:val="004B0CEC"/>
    <w:rsid w:val="004B17E1"/>
    <w:rsid w:val="004B1AB7"/>
    <w:rsid w:val="004B205C"/>
    <w:rsid w:val="004B20C9"/>
    <w:rsid w:val="004B2DB2"/>
    <w:rsid w:val="004B5E2E"/>
    <w:rsid w:val="004B6578"/>
    <w:rsid w:val="004C0020"/>
    <w:rsid w:val="004C103F"/>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34BD"/>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4E79"/>
    <w:rsid w:val="004F54DE"/>
    <w:rsid w:val="004F5542"/>
    <w:rsid w:val="004F6182"/>
    <w:rsid w:val="004F62B5"/>
    <w:rsid w:val="004F64EF"/>
    <w:rsid w:val="004F6C52"/>
    <w:rsid w:val="004F79C9"/>
    <w:rsid w:val="005013CA"/>
    <w:rsid w:val="00502B0B"/>
    <w:rsid w:val="0050309E"/>
    <w:rsid w:val="00504084"/>
    <w:rsid w:val="00505314"/>
    <w:rsid w:val="00505451"/>
    <w:rsid w:val="005058D1"/>
    <w:rsid w:val="00505E5B"/>
    <w:rsid w:val="00506244"/>
    <w:rsid w:val="005068A0"/>
    <w:rsid w:val="0050798A"/>
    <w:rsid w:val="005079EC"/>
    <w:rsid w:val="00507C82"/>
    <w:rsid w:val="00510BCA"/>
    <w:rsid w:val="00511DC0"/>
    <w:rsid w:val="00512B1A"/>
    <w:rsid w:val="00514C53"/>
    <w:rsid w:val="00515978"/>
    <w:rsid w:val="00516278"/>
    <w:rsid w:val="0051632E"/>
    <w:rsid w:val="00516799"/>
    <w:rsid w:val="00517D52"/>
    <w:rsid w:val="00520D98"/>
    <w:rsid w:val="005223D7"/>
    <w:rsid w:val="0052251B"/>
    <w:rsid w:val="00522E5D"/>
    <w:rsid w:val="00522EFA"/>
    <w:rsid w:val="00523013"/>
    <w:rsid w:val="00524079"/>
    <w:rsid w:val="00524EBC"/>
    <w:rsid w:val="0052541B"/>
    <w:rsid w:val="00525796"/>
    <w:rsid w:val="005263F0"/>
    <w:rsid w:val="00526750"/>
    <w:rsid w:val="00526FCD"/>
    <w:rsid w:val="00527204"/>
    <w:rsid w:val="00527527"/>
    <w:rsid w:val="005275C5"/>
    <w:rsid w:val="0052796F"/>
    <w:rsid w:val="00530C47"/>
    <w:rsid w:val="00530FBE"/>
    <w:rsid w:val="00531CAB"/>
    <w:rsid w:val="00533876"/>
    <w:rsid w:val="00534EB8"/>
    <w:rsid w:val="00535E7A"/>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2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2D9"/>
    <w:rsid w:val="0059153C"/>
    <w:rsid w:val="005915F3"/>
    <w:rsid w:val="0059221F"/>
    <w:rsid w:val="00592A21"/>
    <w:rsid w:val="00595D10"/>
    <w:rsid w:val="00595EC8"/>
    <w:rsid w:val="00596975"/>
    <w:rsid w:val="00596BD1"/>
    <w:rsid w:val="0059799E"/>
    <w:rsid w:val="00597C01"/>
    <w:rsid w:val="005A0E14"/>
    <w:rsid w:val="005A0F66"/>
    <w:rsid w:val="005A1751"/>
    <w:rsid w:val="005A1B98"/>
    <w:rsid w:val="005A1DA3"/>
    <w:rsid w:val="005A2264"/>
    <w:rsid w:val="005A2649"/>
    <w:rsid w:val="005A29E8"/>
    <w:rsid w:val="005A3692"/>
    <w:rsid w:val="005A50C3"/>
    <w:rsid w:val="005A5863"/>
    <w:rsid w:val="005A5FE9"/>
    <w:rsid w:val="005A6550"/>
    <w:rsid w:val="005A6D62"/>
    <w:rsid w:val="005A783C"/>
    <w:rsid w:val="005A78E8"/>
    <w:rsid w:val="005B00CF"/>
    <w:rsid w:val="005B18DE"/>
    <w:rsid w:val="005B1CCD"/>
    <w:rsid w:val="005B3657"/>
    <w:rsid w:val="005B4A77"/>
    <w:rsid w:val="005B4DD4"/>
    <w:rsid w:val="005B4F7D"/>
    <w:rsid w:val="005B6D7D"/>
    <w:rsid w:val="005C069D"/>
    <w:rsid w:val="005C084E"/>
    <w:rsid w:val="005C1A32"/>
    <w:rsid w:val="005C1C28"/>
    <w:rsid w:val="005C262D"/>
    <w:rsid w:val="005C263D"/>
    <w:rsid w:val="005C3945"/>
    <w:rsid w:val="005C4C32"/>
    <w:rsid w:val="005C505C"/>
    <w:rsid w:val="005C79FC"/>
    <w:rsid w:val="005D0F32"/>
    <w:rsid w:val="005D1D68"/>
    <w:rsid w:val="005D3A48"/>
    <w:rsid w:val="005D3E53"/>
    <w:rsid w:val="005D47BC"/>
    <w:rsid w:val="005D5CE8"/>
    <w:rsid w:val="005D60F7"/>
    <w:rsid w:val="005D70A6"/>
    <w:rsid w:val="005D73F4"/>
    <w:rsid w:val="005E25E1"/>
    <w:rsid w:val="005E4161"/>
    <w:rsid w:val="005E52F7"/>
    <w:rsid w:val="005E6842"/>
    <w:rsid w:val="005E68EB"/>
    <w:rsid w:val="005F0CA5"/>
    <w:rsid w:val="005F14A8"/>
    <w:rsid w:val="005F1A8A"/>
    <w:rsid w:val="005F23A3"/>
    <w:rsid w:val="005F23FF"/>
    <w:rsid w:val="005F2AC5"/>
    <w:rsid w:val="005F315A"/>
    <w:rsid w:val="005F47A8"/>
    <w:rsid w:val="005F5127"/>
    <w:rsid w:val="005F5A03"/>
    <w:rsid w:val="005F75F4"/>
    <w:rsid w:val="00600492"/>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411B"/>
    <w:rsid w:val="00635A23"/>
    <w:rsid w:val="0063630F"/>
    <w:rsid w:val="00636965"/>
    <w:rsid w:val="006372C4"/>
    <w:rsid w:val="00641755"/>
    <w:rsid w:val="006429C6"/>
    <w:rsid w:val="00642AC8"/>
    <w:rsid w:val="006438F2"/>
    <w:rsid w:val="00644B8E"/>
    <w:rsid w:val="00645210"/>
    <w:rsid w:val="00645E46"/>
    <w:rsid w:val="0064622E"/>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0AEB"/>
    <w:rsid w:val="00671D93"/>
    <w:rsid w:val="00672A02"/>
    <w:rsid w:val="00672FE1"/>
    <w:rsid w:val="006800A8"/>
    <w:rsid w:val="006802B5"/>
    <w:rsid w:val="00681E18"/>
    <w:rsid w:val="00681F52"/>
    <w:rsid w:val="006835AA"/>
    <w:rsid w:val="00683AC0"/>
    <w:rsid w:val="00685ED1"/>
    <w:rsid w:val="00685F7E"/>
    <w:rsid w:val="00686732"/>
    <w:rsid w:val="006867F6"/>
    <w:rsid w:val="00686CD1"/>
    <w:rsid w:val="00691D4D"/>
    <w:rsid w:val="00692009"/>
    <w:rsid w:val="006924EB"/>
    <w:rsid w:val="00694CD2"/>
    <w:rsid w:val="006956BA"/>
    <w:rsid w:val="006957F9"/>
    <w:rsid w:val="006962B0"/>
    <w:rsid w:val="00697175"/>
    <w:rsid w:val="00697F20"/>
    <w:rsid w:val="006A16E4"/>
    <w:rsid w:val="006A3490"/>
    <w:rsid w:val="006A3E6D"/>
    <w:rsid w:val="006A48F3"/>
    <w:rsid w:val="006A6068"/>
    <w:rsid w:val="006A744F"/>
    <w:rsid w:val="006B0647"/>
    <w:rsid w:val="006B0658"/>
    <w:rsid w:val="006B0B99"/>
    <w:rsid w:val="006B1530"/>
    <w:rsid w:val="006B1BC5"/>
    <w:rsid w:val="006B1EDA"/>
    <w:rsid w:val="006B29D4"/>
    <w:rsid w:val="006B2DB3"/>
    <w:rsid w:val="006B305E"/>
    <w:rsid w:val="006B30B4"/>
    <w:rsid w:val="006B31CA"/>
    <w:rsid w:val="006B3950"/>
    <w:rsid w:val="006B4E85"/>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42A4"/>
    <w:rsid w:val="006E59D5"/>
    <w:rsid w:val="006E5BB6"/>
    <w:rsid w:val="006E631D"/>
    <w:rsid w:val="006E6FD6"/>
    <w:rsid w:val="006E7C67"/>
    <w:rsid w:val="006F0252"/>
    <w:rsid w:val="006F13CB"/>
    <w:rsid w:val="006F1BDC"/>
    <w:rsid w:val="006F2397"/>
    <w:rsid w:val="006F4FC4"/>
    <w:rsid w:val="006F52F0"/>
    <w:rsid w:val="006F5B8D"/>
    <w:rsid w:val="006F5C4A"/>
    <w:rsid w:val="006F7B85"/>
    <w:rsid w:val="006F7BC4"/>
    <w:rsid w:val="00700875"/>
    <w:rsid w:val="00700D74"/>
    <w:rsid w:val="007018D4"/>
    <w:rsid w:val="00701DA0"/>
    <w:rsid w:val="007038EF"/>
    <w:rsid w:val="00704A84"/>
    <w:rsid w:val="007051BF"/>
    <w:rsid w:val="0070533C"/>
    <w:rsid w:val="00705A27"/>
    <w:rsid w:val="007064EA"/>
    <w:rsid w:val="0070749A"/>
    <w:rsid w:val="00707993"/>
    <w:rsid w:val="00711986"/>
    <w:rsid w:val="00713633"/>
    <w:rsid w:val="00716AF6"/>
    <w:rsid w:val="00716C06"/>
    <w:rsid w:val="00716D26"/>
    <w:rsid w:val="00716D56"/>
    <w:rsid w:val="00716FAC"/>
    <w:rsid w:val="00717380"/>
    <w:rsid w:val="00721008"/>
    <w:rsid w:val="00721C8D"/>
    <w:rsid w:val="007221F7"/>
    <w:rsid w:val="007224F5"/>
    <w:rsid w:val="00722EA2"/>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2645"/>
    <w:rsid w:val="007751D6"/>
    <w:rsid w:val="00775869"/>
    <w:rsid w:val="00776169"/>
    <w:rsid w:val="00776747"/>
    <w:rsid w:val="00776D81"/>
    <w:rsid w:val="00776EB4"/>
    <w:rsid w:val="00777481"/>
    <w:rsid w:val="00780029"/>
    <w:rsid w:val="007815F9"/>
    <w:rsid w:val="00783EC3"/>
    <w:rsid w:val="00784E46"/>
    <w:rsid w:val="00786A87"/>
    <w:rsid w:val="00786ABB"/>
    <w:rsid w:val="00790ADA"/>
    <w:rsid w:val="00790BEB"/>
    <w:rsid w:val="00791374"/>
    <w:rsid w:val="007921CB"/>
    <w:rsid w:val="00792C42"/>
    <w:rsid w:val="007940CB"/>
    <w:rsid w:val="00795CF3"/>
    <w:rsid w:val="0079746F"/>
    <w:rsid w:val="007978F4"/>
    <w:rsid w:val="007A0975"/>
    <w:rsid w:val="007A231D"/>
    <w:rsid w:val="007A25CB"/>
    <w:rsid w:val="007A271A"/>
    <w:rsid w:val="007A2EB6"/>
    <w:rsid w:val="007A30AC"/>
    <w:rsid w:val="007A3529"/>
    <w:rsid w:val="007A3799"/>
    <w:rsid w:val="007A3E5C"/>
    <w:rsid w:val="007A43A7"/>
    <w:rsid w:val="007A46AE"/>
    <w:rsid w:val="007A495A"/>
    <w:rsid w:val="007A4EEA"/>
    <w:rsid w:val="007A54C1"/>
    <w:rsid w:val="007A557A"/>
    <w:rsid w:val="007A64C0"/>
    <w:rsid w:val="007A7031"/>
    <w:rsid w:val="007B0DAC"/>
    <w:rsid w:val="007B17F8"/>
    <w:rsid w:val="007B28BD"/>
    <w:rsid w:val="007B3897"/>
    <w:rsid w:val="007B5E23"/>
    <w:rsid w:val="007C007E"/>
    <w:rsid w:val="007C0262"/>
    <w:rsid w:val="007C0E59"/>
    <w:rsid w:val="007C16C9"/>
    <w:rsid w:val="007C259E"/>
    <w:rsid w:val="007C33F4"/>
    <w:rsid w:val="007C47AC"/>
    <w:rsid w:val="007C49DB"/>
    <w:rsid w:val="007C539D"/>
    <w:rsid w:val="007C5A7D"/>
    <w:rsid w:val="007C68DA"/>
    <w:rsid w:val="007D120E"/>
    <w:rsid w:val="007D141A"/>
    <w:rsid w:val="007D283A"/>
    <w:rsid w:val="007D33EE"/>
    <w:rsid w:val="007D3994"/>
    <w:rsid w:val="007D3AD7"/>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A8"/>
    <w:rsid w:val="008206EF"/>
    <w:rsid w:val="00820EDD"/>
    <w:rsid w:val="00821093"/>
    <w:rsid w:val="008217BE"/>
    <w:rsid w:val="00821975"/>
    <w:rsid w:val="00822CA0"/>
    <w:rsid w:val="0082384F"/>
    <w:rsid w:val="008238DF"/>
    <w:rsid w:val="00825511"/>
    <w:rsid w:val="0082560B"/>
    <w:rsid w:val="00830875"/>
    <w:rsid w:val="00831A81"/>
    <w:rsid w:val="00832856"/>
    <w:rsid w:val="00833F0D"/>
    <w:rsid w:val="00837B2A"/>
    <w:rsid w:val="00837F34"/>
    <w:rsid w:val="00840781"/>
    <w:rsid w:val="00840D64"/>
    <w:rsid w:val="008434B7"/>
    <w:rsid w:val="00843DC0"/>
    <w:rsid w:val="00843E6F"/>
    <w:rsid w:val="008449EC"/>
    <w:rsid w:val="00844FFD"/>
    <w:rsid w:val="00845B4A"/>
    <w:rsid w:val="00846B8E"/>
    <w:rsid w:val="008510DC"/>
    <w:rsid w:val="00851295"/>
    <w:rsid w:val="008513B3"/>
    <w:rsid w:val="00851460"/>
    <w:rsid w:val="008518C5"/>
    <w:rsid w:val="00851A69"/>
    <w:rsid w:val="008523D7"/>
    <w:rsid w:val="00853C6F"/>
    <w:rsid w:val="00853D82"/>
    <w:rsid w:val="0085488C"/>
    <w:rsid w:val="0085519F"/>
    <w:rsid w:val="00855B88"/>
    <w:rsid w:val="0085628F"/>
    <w:rsid w:val="00856563"/>
    <w:rsid w:val="008567F5"/>
    <w:rsid w:val="00857026"/>
    <w:rsid w:val="00857E1C"/>
    <w:rsid w:val="00857FAD"/>
    <w:rsid w:val="00861334"/>
    <w:rsid w:val="00863061"/>
    <w:rsid w:val="008634C6"/>
    <w:rsid w:val="00863A9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808"/>
    <w:rsid w:val="008859D3"/>
    <w:rsid w:val="00885FB0"/>
    <w:rsid w:val="00887525"/>
    <w:rsid w:val="00892950"/>
    <w:rsid w:val="00892ABD"/>
    <w:rsid w:val="00895576"/>
    <w:rsid w:val="008960D5"/>
    <w:rsid w:val="00896C2F"/>
    <w:rsid w:val="00897136"/>
    <w:rsid w:val="008A1518"/>
    <w:rsid w:val="008A1E19"/>
    <w:rsid w:val="008A2C89"/>
    <w:rsid w:val="008A2E60"/>
    <w:rsid w:val="008A3CB2"/>
    <w:rsid w:val="008A42F4"/>
    <w:rsid w:val="008A4D1E"/>
    <w:rsid w:val="008A6A75"/>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5F38"/>
    <w:rsid w:val="008C678C"/>
    <w:rsid w:val="008D0798"/>
    <w:rsid w:val="008D0A11"/>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8F3084"/>
    <w:rsid w:val="00900E4A"/>
    <w:rsid w:val="00901B0D"/>
    <w:rsid w:val="00901B4D"/>
    <w:rsid w:val="00903A20"/>
    <w:rsid w:val="009046E4"/>
    <w:rsid w:val="0090528B"/>
    <w:rsid w:val="009059DB"/>
    <w:rsid w:val="00906062"/>
    <w:rsid w:val="00906155"/>
    <w:rsid w:val="009068F8"/>
    <w:rsid w:val="00910849"/>
    <w:rsid w:val="00910D01"/>
    <w:rsid w:val="00914309"/>
    <w:rsid w:val="009143ED"/>
    <w:rsid w:val="00914DBE"/>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5784"/>
    <w:rsid w:val="00926495"/>
    <w:rsid w:val="00926A52"/>
    <w:rsid w:val="00926C49"/>
    <w:rsid w:val="0092799F"/>
    <w:rsid w:val="009305D4"/>
    <w:rsid w:val="00930765"/>
    <w:rsid w:val="00934117"/>
    <w:rsid w:val="00934D25"/>
    <w:rsid w:val="00935611"/>
    <w:rsid w:val="009375EB"/>
    <w:rsid w:val="009407EA"/>
    <w:rsid w:val="009410EE"/>
    <w:rsid w:val="00941213"/>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4E92"/>
    <w:rsid w:val="0095747C"/>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5503"/>
    <w:rsid w:val="00986D1E"/>
    <w:rsid w:val="009875AC"/>
    <w:rsid w:val="009876A0"/>
    <w:rsid w:val="00987742"/>
    <w:rsid w:val="009904B4"/>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577D"/>
    <w:rsid w:val="009B609E"/>
    <w:rsid w:val="009B6DEE"/>
    <w:rsid w:val="009B7A5B"/>
    <w:rsid w:val="009C1250"/>
    <w:rsid w:val="009C12C5"/>
    <w:rsid w:val="009C2129"/>
    <w:rsid w:val="009C2943"/>
    <w:rsid w:val="009C55BA"/>
    <w:rsid w:val="009C67AE"/>
    <w:rsid w:val="009C6E30"/>
    <w:rsid w:val="009C6FA1"/>
    <w:rsid w:val="009C7D2B"/>
    <w:rsid w:val="009D0F63"/>
    <w:rsid w:val="009D132E"/>
    <w:rsid w:val="009D1583"/>
    <w:rsid w:val="009D1801"/>
    <w:rsid w:val="009D5373"/>
    <w:rsid w:val="009D54C7"/>
    <w:rsid w:val="009D5CDC"/>
    <w:rsid w:val="009D63EA"/>
    <w:rsid w:val="009D659F"/>
    <w:rsid w:val="009E0418"/>
    <w:rsid w:val="009E0790"/>
    <w:rsid w:val="009E4685"/>
    <w:rsid w:val="009E4990"/>
    <w:rsid w:val="009E65AE"/>
    <w:rsid w:val="009F02ED"/>
    <w:rsid w:val="009F0913"/>
    <w:rsid w:val="009F1078"/>
    <w:rsid w:val="009F12E3"/>
    <w:rsid w:val="009F1AA7"/>
    <w:rsid w:val="009F2273"/>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173B5"/>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1C73"/>
    <w:rsid w:val="00A432BA"/>
    <w:rsid w:val="00A433B8"/>
    <w:rsid w:val="00A43E2A"/>
    <w:rsid w:val="00A4567C"/>
    <w:rsid w:val="00A50D26"/>
    <w:rsid w:val="00A512A0"/>
    <w:rsid w:val="00A517D0"/>
    <w:rsid w:val="00A51F10"/>
    <w:rsid w:val="00A533EF"/>
    <w:rsid w:val="00A543E9"/>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241"/>
    <w:rsid w:val="00A726BE"/>
    <w:rsid w:val="00A7297A"/>
    <w:rsid w:val="00A72EC3"/>
    <w:rsid w:val="00A738D3"/>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6B69"/>
    <w:rsid w:val="00AA78EB"/>
    <w:rsid w:val="00AB2496"/>
    <w:rsid w:val="00AB2870"/>
    <w:rsid w:val="00AB355A"/>
    <w:rsid w:val="00AB36B6"/>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627"/>
    <w:rsid w:val="00AE6CFD"/>
    <w:rsid w:val="00AE75D2"/>
    <w:rsid w:val="00AE76CF"/>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4ABC"/>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505B"/>
    <w:rsid w:val="00B45ECE"/>
    <w:rsid w:val="00B45F3F"/>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4D3"/>
    <w:rsid w:val="00B60C91"/>
    <w:rsid w:val="00B613C4"/>
    <w:rsid w:val="00B62983"/>
    <w:rsid w:val="00B62BAD"/>
    <w:rsid w:val="00B643F3"/>
    <w:rsid w:val="00B678B1"/>
    <w:rsid w:val="00B678D1"/>
    <w:rsid w:val="00B67AED"/>
    <w:rsid w:val="00B67C2D"/>
    <w:rsid w:val="00B70890"/>
    <w:rsid w:val="00B714D5"/>
    <w:rsid w:val="00B71F47"/>
    <w:rsid w:val="00B72164"/>
    <w:rsid w:val="00B72773"/>
    <w:rsid w:val="00B74C61"/>
    <w:rsid w:val="00B75122"/>
    <w:rsid w:val="00B754C0"/>
    <w:rsid w:val="00B75689"/>
    <w:rsid w:val="00B759A8"/>
    <w:rsid w:val="00B763AA"/>
    <w:rsid w:val="00B77D57"/>
    <w:rsid w:val="00B77DE8"/>
    <w:rsid w:val="00B77F7A"/>
    <w:rsid w:val="00B80396"/>
    <w:rsid w:val="00B80806"/>
    <w:rsid w:val="00B81359"/>
    <w:rsid w:val="00B8389E"/>
    <w:rsid w:val="00B841A9"/>
    <w:rsid w:val="00B86405"/>
    <w:rsid w:val="00B86A2C"/>
    <w:rsid w:val="00B9087C"/>
    <w:rsid w:val="00B90A29"/>
    <w:rsid w:val="00B9230D"/>
    <w:rsid w:val="00B93CEB"/>
    <w:rsid w:val="00B945B1"/>
    <w:rsid w:val="00B950E7"/>
    <w:rsid w:val="00B95B92"/>
    <w:rsid w:val="00B95BAD"/>
    <w:rsid w:val="00B95E27"/>
    <w:rsid w:val="00B975E1"/>
    <w:rsid w:val="00BA0E42"/>
    <w:rsid w:val="00BA0F9B"/>
    <w:rsid w:val="00BA100B"/>
    <w:rsid w:val="00BA13E6"/>
    <w:rsid w:val="00BA1AB1"/>
    <w:rsid w:val="00BA1C97"/>
    <w:rsid w:val="00BA3F40"/>
    <w:rsid w:val="00BA4890"/>
    <w:rsid w:val="00BA5E01"/>
    <w:rsid w:val="00BA5E5A"/>
    <w:rsid w:val="00BA6A35"/>
    <w:rsid w:val="00BB029B"/>
    <w:rsid w:val="00BB0A5B"/>
    <w:rsid w:val="00BB1AD2"/>
    <w:rsid w:val="00BB25B6"/>
    <w:rsid w:val="00BB5596"/>
    <w:rsid w:val="00BB5778"/>
    <w:rsid w:val="00BB580B"/>
    <w:rsid w:val="00BB762D"/>
    <w:rsid w:val="00BB7AAE"/>
    <w:rsid w:val="00BC26DE"/>
    <w:rsid w:val="00BC434D"/>
    <w:rsid w:val="00BC5C12"/>
    <w:rsid w:val="00BC69E7"/>
    <w:rsid w:val="00BC757A"/>
    <w:rsid w:val="00BC7682"/>
    <w:rsid w:val="00BC7D60"/>
    <w:rsid w:val="00BC7FFC"/>
    <w:rsid w:val="00BD0D2F"/>
    <w:rsid w:val="00BD1BF8"/>
    <w:rsid w:val="00BD2E2A"/>
    <w:rsid w:val="00BD32F4"/>
    <w:rsid w:val="00BD7E33"/>
    <w:rsid w:val="00BE0F0B"/>
    <w:rsid w:val="00BE239D"/>
    <w:rsid w:val="00BE2D01"/>
    <w:rsid w:val="00BE3CC4"/>
    <w:rsid w:val="00BE42DB"/>
    <w:rsid w:val="00BE42E2"/>
    <w:rsid w:val="00BE42F1"/>
    <w:rsid w:val="00BE5DBE"/>
    <w:rsid w:val="00BE64AF"/>
    <w:rsid w:val="00BE7C43"/>
    <w:rsid w:val="00BF0295"/>
    <w:rsid w:val="00BF116A"/>
    <w:rsid w:val="00BF19D6"/>
    <w:rsid w:val="00BF321D"/>
    <w:rsid w:val="00BF3FFE"/>
    <w:rsid w:val="00BF4A48"/>
    <w:rsid w:val="00BF4DBA"/>
    <w:rsid w:val="00BF5562"/>
    <w:rsid w:val="00BF5C6E"/>
    <w:rsid w:val="00BF68BA"/>
    <w:rsid w:val="00BF6DF0"/>
    <w:rsid w:val="00C025A0"/>
    <w:rsid w:val="00C04C4F"/>
    <w:rsid w:val="00C06936"/>
    <w:rsid w:val="00C06CE0"/>
    <w:rsid w:val="00C07417"/>
    <w:rsid w:val="00C10077"/>
    <w:rsid w:val="00C10F16"/>
    <w:rsid w:val="00C1143C"/>
    <w:rsid w:val="00C1168B"/>
    <w:rsid w:val="00C11DE9"/>
    <w:rsid w:val="00C124CB"/>
    <w:rsid w:val="00C12E9E"/>
    <w:rsid w:val="00C130E6"/>
    <w:rsid w:val="00C13CAA"/>
    <w:rsid w:val="00C13D65"/>
    <w:rsid w:val="00C141B6"/>
    <w:rsid w:val="00C178B4"/>
    <w:rsid w:val="00C17C45"/>
    <w:rsid w:val="00C20D4F"/>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282F"/>
    <w:rsid w:val="00C6305C"/>
    <w:rsid w:val="00C63D93"/>
    <w:rsid w:val="00C648EB"/>
    <w:rsid w:val="00C64E57"/>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156"/>
    <w:rsid w:val="00CA443C"/>
    <w:rsid w:val="00CA5314"/>
    <w:rsid w:val="00CA5420"/>
    <w:rsid w:val="00CB056F"/>
    <w:rsid w:val="00CB091C"/>
    <w:rsid w:val="00CB1531"/>
    <w:rsid w:val="00CB18E5"/>
    <w:rsid w:val="00CB1B5A"/>
    <w:rsid w:val="00CB20F7"/>
    <w:rsid w:val="00CB3603"/>
    <w:rsid w:val="00CB4E0B"/>
    <w:rsid w:val="00CB67E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09A9"/>
    <w:rsid w:val="00D02BD8"/>
    <w:rsid w:val="00D03D73"/>
    <w:rsid w:val="00D04220"/>
    <w:rsid w:val="00D045EA"/>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2A3C"/>
    <w:rsid w:val="00D33771"/>
    <w:rsid w:val="00D3442C"/>
    <w:rsid w:val="00D35D36"/>
    <w:rsid w:val="00D36E24"/>
    <w:rsid w:val="00D373A4"/>
    <w:rsid w:val="00D42E67"/>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068B"/>
    <w:rsid w:val="00D712A2"/>
    <w:rsid w:val="00D714D5"/>
    <w:rsid w:val="00D72210"/>
    <w:rsid w:val="00D72CAF"/>
    <w:rsid w:val="00D73237"/>
    <w:rsid w:val="00D739EF"/>
    <w:rsid w:val="00D73EA5"/>
    <w:rsid w:val="00D74383"/>
    <w:rsid w:val="00D75C75"/>
    <w:rsid w:val="00D76079"/>
    <w:rsid w:val="00D76810"/>
    <w:rsid w:val="00D76D93"/>
    <w:rsid w:val="00D814A0"/>
    <w:rsid w:val="00D83361"/>
    <w:rsid w:val="00D84C7A"/>
    <w:rsid w:val="00D85DB8"/>
    <w:rsid w:val="00D871E3"/>
    <w:rsid w:val="00D8726A"/>
    <w:rsid w:val="00D90202"/>
    <w:rsid w:val="00D90B5B"/>
    <w:rsid w:val="00D91EB0"/>
    <w:rsid w:val="00D93302"/>
    <w:rsid w:val="00D96569"/>
    <w:rsid w:val="00D96E5B"/>
    <w:rsid w:val="00D970EC"/>
    <w:rsid w:val="00D97E7A"/>
    <w:rsid w:val="00DA0E04"/>
    <w:rsid w:val="00DA13D9"/>
    <w:rsid w:val="00DA318B"/>
    <w:rsid w:val="00DA49ED"/>
    <w:rsid w:val="00DA5D6A"/>
    <w:rsid w:val="00DA7521"/>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1FA"/>
    <w:rsid w:val="00DE28D9"/>
    <w:rsid w:val="00DE29BD"/>
    <w:rsid w:val="00DE2C29"/>
    <w:rsid w:val="00DE2FAA"/>
    <w:rsid w:val="00DE31F5"/>
    <w:rsid w:val="00DE4B29"/>
    <w:rsid w:val="00DE5C55"/>
    <w:rsid w:val="00DE6674"/>
    <w:rsid w:val="00DE6A23"/>
    <w:rsid w:val="00DE75B5"/>
    <w:rsid w:val="00DE7B5C"/>
    <w:rsid w:val="00DE7E98"/>
    <w:rsid w:val="00DF0431"/>
    <w:rsid w:val="00DF05CB"/>
    <w:rsid w:val="00DF22B0"/>
    <w:rsid w:val="00DF4258"/>
    <w:rsid w:val="00DF446F"/>
    <w:rsid w:val="00DF46DF"/>
    <w:rsid w:val="00DF4DC8"/>
    <w:rsid w:val="00DF52CF"/>
    <w:rsid w:val="00DF5DCA"/>
    <w:rsid w:val="00DF76D7"/>
    <w:rsid w:val="00E008C8"/>
    <w:rsid w:val="00E00A8B"/>
    <w:rsid w:val="00E03920"/>
    <w:rsid w:val="00E03C55"/>
    <w:rsid w:val="00E03E13"/>
    <w:rsid w:val="00E04B09"/>
    <w:rsid w:val="00E05D37"/>
    <w:rsid w:val="00E05E10"/>
    <w:rsid w:val="00E06D4E"/>
    <w:rsid w:val="00E06FA6"/>
    <w:rsid w:val="00E1042D"/>
    <w:rsid w:val="00E145E9"/>
    <w:rsid w:val="00E14B7D"/>
    <w:rsid w:val="00E15319"/>
    <w:rsid w:val="00E16403"/>
    <w:rsid w:val="00E16448"/>
    <w:rsid w:val="00E21076"/>
    <w:rsid w:val="00E21973"/>
    <w:rsid w:val="00E23427"/>
    <w:rsid w:val="00E2568F"/>
    <w:rsid w:val="00E25986"/>
    <w:rsid w:val="00E25D4B"/>
    <w:rsid w:val="00E26834"/>
    <w:rsid w:val="00E27AB6"/>
    <w:rsid w:val="00E307FF"/>
    <w:rsid w:val="00E30ADD"/>
    <w:rsid w:val="00E31861"/>
    <w:rsid w:val="00E33D31"/>
    <w:rsid w:val="00E342AC"/>
    <w:rsid w:val="00E35770"/>
    <w:rsid w:val="00E35FBE"/>
    <w:rsid w:val="00E363B4"/>
    <w:rsid w:val="00E37270"/>
    <w:rsid w:val="00E40494"/>
    <w:rsid w:val="00E423FB"/>
    <w:rsid w:val="00E43427"/>
    <w:rsid w:val="00E43AF7"/>
    <w:rsid w:val="00E43B9E"/>
    <w:rsid w:val="00E45594"/>
    <w:rsid w:val="00E458F1"/>
    <w:rsid w:val="00E458F9"/>
    <w:rsid w:val="00E45D8A"/>
    <w:rsid w:val="00E4601E"/>
    <w:rsid w:val="00E46CFD"/>
    <w:rsid w:val="00E47C03"/>
    <w:rsid w:val="00E47F3D"/>
    <w:rsid w:val="00E50026"/>
    <w:rsid w:val="00E52283"/>
    <w:rsid w:val="00E5241F"/>
    <w:rsid w:val="00E52C21"/>
    <w:rsid w:val="00E5300E"/>
    <w:rsid w:val="00E5395C"/>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054"/>
    <w:rsid w:val="00E73A68"/>
    <w:rsid w:val="00E73AF3"/>
    <w:rsid w:val="00E74362"/>
    <w:rsid w:val="00E746E0"/>
    <w:rsid w:val="00E755E6"/>
    <w:rsid w:val="00E757FD"/>
    <w:rsid w:val="00E75917"/>
    <w:rsid w:val="00E75A55"/>
    <w:rsid w:val="00E77D61"/>
    <w:rsid w:val="00E83421"/>
    <w:rsid w:val="00E83F9B"/>
    <w:rsid w:val="00E85409"/>
    <w:rsid w:val="00E857AD"/>
    <w:rsid w:val="00E859D0"/>
    <w:rsid w:val="00E8603C"/>
    <w:rsid w:val="00E910A0"/>
    <w:rsid w:val="00E914E0"/>
    <w:rsid w:val="00E91879"/>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A5C38"/>
    <w:rsid w:val="00EB06CE"/>
    <w:rsid w:val="00EB1D34"/>
    <w:rsid w:val="00EB4355"/>
    <w:rsid w:val="00EB4E36"/>
    <w:rsid w:val="00EB6363"/>
    <w:rsid w:val="00EC0668"/>
    <w:rsid w:val="00EC169F"/>
    <w:rsid w:val="00EC2A54"/>
    <w:rsid w:val="00EC37CC"/>
    <w:rsid w:val="00EC4EA3"/>
    <w:rsid w:val="00EC6A52"/>
    <w:rsid w:val="00EC74BC"/>
    <w:rsid w:val="00EC79A1"/>
    <w:rsid w:val="00EC7A3C"/>
    <w:rsid w:val="00ED007E"/>
    <w:rsid w:val="00ED2BAF"/>
    <w:rsid w:val="00ED3477"/>
    <w:rsid w:val="00ED41E8"/>
    <w:rsid w:val="00ED42EA"/>
    <w:rsid w:val="00ED6D8F"/>
    <w:rsid w:val="00ED7682"/>
    <w:rsid w:val="00ED793B"/>
    <w:rsid w:val="00EE135B"/>
    <w:rsid w:val="00EE2D7F"/>
    <w:rsid w:val="00EE31CB"/>
    <w:rsid w:val="00EE3487"/>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23BD"/>
    <w:rsid w:val="00F04913"/>
    <w:rsid w:val="00F0612B"/>
    <w:rsid w:val="00F0617F"/>
    <w:rsid w:val="00F108A0"/>
    <w:rsid w:val="00F10A38"/>
    <w:rsid w:val="00F119E7"/>
    <w:rsid w:val="00F12922"/>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55F94"/>
    <w:rsid w:val="00F60E6F"/>
    <w:rsid w:val="00F612EB"/>
    <w:rsid w:val="00F6527B"/>
    <w:rsid w:val="00F66961"/>
    <w:rsid w:val="00F67E6C"/>
    <w:rsid w:val="00F70D43"/>
    <w:rsid w:val="00F72DDC"/>
    <w:rsid w:val="00F72E37"/>
    <w:rsid w:val="00F73016"/>
    <w:rsid w:val="00F73B6E"/>
    <w:rsid w:val="00F73D71"/>
    <w:rsid w:val="00F75C98"/>
    <w:rsid w:val="00F832A3"/>
    <w:rsid w:val="00F83B15"/>
    <w:rsid w:val="00F84850"/>
    <w:rsid w:val="00F84D19"/>
    <w:rsid w:val="00F85563"/>
    <w:rsid w:val="00F855C6"/>
    <w:rsid w:val="00F8608D"/>
    <w:rsid w:val="00F95FF4"/>
    <w:rsid w:val="00F96CE9"/>
    <w:rsid w:val="00F96F3A"/>
    <w:rsid w:val="00F97B5F"/>
    <w:rsid w:val="00FA0BC6"/>
    <w:rsid w:val="00FA22D0"/>
    <w:rsid w:val="00FA3D33"/>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4889"/>
    <w:rsid w:val="00FE5464"/>
    <w:rsid w:val="00FE5A3E"/>
    <w:rsid w:val="00FE654B"/>
    <w:rsid w:val="00FE6E12"/>
    <w:rsid w:val="00FE6ECB"/>
    <w:rsid w:val="00FE7F34"/>
    <w:rsid w:val="00FF0A8B"/>
    <w:rsid w:val="00FF1267"/>
    <w:rsid w:val="00FF1E41"/>
    <w:rsid w:val="00FF4372"/>
    <w:rsid w:val="00FF4BB2"/>
    <w:rsid w:val="00FF59E7"/>
    <w:rsid w:val="00FF5F97"/>
    <w:rsid w:val="00FF7257"/>
    <w:rsid w:val="00FF752A"/>
    <w:rsid w:val="00FF7BD9"/>
    <w:rsid w:val="04353C9C"/>
    <w:rsid w:val="049623F8"/>
    <w:rsid w:val="04D06D42"/>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2FD97FDB"/>
    <w:rsid w:val="33940D54"/>
    <w:rsid w:val="33CE6340"/>
    <w:rsid w:val="35BD25C7"/>
    <w:rsid w:val="36576957"/>
    <w:rsid w:val="37672FB0"/>
    <w:rsid w:val="381C5B0D"/>
    <w:rsid w:val="3A891042"/>
    <w:rsid w:val="3A8F55CD"/>
    <w:rsid w:val="3B537E3D"/>
    <w:rsid w:val="3B9220C8"/>
    <w:rsid w:val="40482E6A"/>
    <w:rsid w:val="42E26497"/>
    <w:rsid w:val="44313E1C"/>
    <w:rsid w:val="463F2F6A"/>
    <w:rsid w:val="474513D9"/>
    <w:rsid w:val="47C13C63"/>
    <w:rsid w:val="491739FA"/>
    <w:rsid w:val="4C7A73E0"/>
    <w:rsid w:val="4DDB6F48"/>
    <w:rsid w:val="4DF0361D"/>
    <w:rsid w:val="4E9F73FB"/>
    <w:rsid w:val="510C6D30"/>
    <w:rsid w:val="5172570A"/>
    <w:rsid w:val="52C771B4"/>
    <w:rsid w:val="53980F62"/>
    <w:rsid w:val="54731278"/>
    <w:rsid w:val="547B7A27"/>
    <w:rsid w:val="54E86EE4"/>
    <w:rsid w:val="55AC4B21"/>
    <w:rsid w:val="56E9380E"/>
    <w:rsid w:val="57265097"/>
    <w:rsid w:val="57322C6A"/>
    <w:rsid w:val="577440B3"/>
    <w:rsid w:val="5AA727CA"/>
    <w:rsid w:val="5CF01AC2"/>
    <w:rsid w:val="5D2A34F6"/>
    <w:rsid w:val="5D4E5899"/>
    <w:rsid w:val="60895EF6"/>
    <w:rsid w:val="612748DD"/>
    <w:rsid w:val="616B7A10"/>
    <w:rsid w:val="61E51EA2"/>
    <w:rsid w:val="63F60F25"/>
    <w:rsid w:val="65B37642"/>
    <w:rsid w:val="66D00153"/>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CAC418C"/>
    <w:rsid w:val="7E3E7DA3"/>
    <w:rsid w:val="7FB80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99"/>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99"/>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字符"/>
    <w:link w:val="2"/>
    <w:qFormat/>
    <w:locked/>
    <w:uiPriority w:val="0"/>
    <w:rPr>
      <w:rFonts w:cs="Times New Roman"/>
      <w:b/>
      <w:bCs/>
      <w:kern w:val="44"/>
      <w:sz w:val="44"/>
      <w:szCs w:val="44"/>
    </w:rPr>
  </w:style>
  <w:style w:type="character" w:customStyle="1" w:styleId="38">
    <w:name w:val="正文文本缩进 字符"/>
    <w:link w:val="8"/>
    <w:qFormat/>
    <w:locked/>
    <w:uiPriority w:val="0"/>
    <w:rPr>
      <w:rFonts w:ascii="仿宋_GB2312" w:eastAsia="仿宋_GB2312" w:cs="Times New Roman"/>
      <w:kern w:val="2"/>
      <w:sz w:val="32"/>
    </w:rPr>
  </w:style>
  <w:style w:type="character" w:customStyle="1" w:styleId="39">
    <w:name w:val="标题 2 字符"/>
    <w:link w:val="3"/>
    <w:qFormat/>
    <w:locked/>
    <w:uiPriority w:val="0"/>
    <w:rPr>
      <w:rFonts w:ascii="宋体" w:eastAsia="宋体" w:cs="Times New Roman"/>
      <w:b/>
      <w:bCs/>
      <w:sz w:val="36"/>
      <w:szCs w:val="36"/>
    </w:rPr>
  </w:style>
  <w:style w:type="character" w:customStyle="1" w:styleId="40">
    <w:name w:val="正文文本缩进 3 字符"/>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字符"/>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字符"/>
    <w:link w:val="9"/>
    <w:qFormat/>
    <w:locked/>
    <w:uiPriority w:val="0"/>
    <w:rPr>
      <w:rFonts w:ascii="宋体" w:hAnsi="Courier New" w:cs="Times New Roman"/>
      <w:kern w:val="2"/>
      <w:sz w:val="21"/>
    </w:rPr>
  </w:style>
  <w:style w:type="character" w:customStyle="1" w:styleId="45">
    <w:name w:val="批注文字 字符"/>
    <w:link w:val="6"/>
    <w:qFormat/>
    <w:locked/>
    <w:uiPriority w:val="99"/>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字符"/>
    <w:link w:val="14"/>
    <w:qFormat/>
    <w:locked/>
    <w:uiPriority w:val="0"/>
    <w:rPr>
      <w:rFonts w:cs="Times New Roman"/>
      <w:sz w:val="18"/>
      <w:szCs w:val="18"/>
    </w:rPr>
  </w:style>
  <w:style w:type="character" w:customStyle="1" w:styleId="48">
    <w:name w:val="日期 字符"/>
    <w:link w:val="10"/>
    <w:qFormat/>
    <w:locked/>
    <w:uiPriority w:val="0"/>
    <w:rPr>
      <w:rFonts w:cs="Times New Roman"/>
      <w:sz w:val="24"/>
      <w:szCs w:val="24"/>
    </w:rPr>
  </w:style>
  <w:style w:type="character" w:customStyle="1" w:styleId="49">
    <w:name w:val="正文文本 字符"/>
    <w:link w:val="7"/>
    <w:qFormat/>
    <w:locked/>
    <w:uiPriority w:val="0"/>
    <w:rPr>
      <w:rFonts w:eastAsia="仿宋_GB2312" w:cs="Times New Roman"/>
      <w:kern w:val="2"/>
      <w:sz w:val="28"/>
    </w:rPr>
  </w:style>
  <w:style w:type="character" w:customStyle="1" w:styleId="50">
    <w:name w:val="页脚 字符"/>
    <w:link w:val="13"/>
    <w:qFormat/>
    <w:locked/>
    <w:uiPriority w:val="99"/>
    <w:rPr>
      <w:rFonts w:cs="Times New Roman"/>
      <w:sz w:val="18"/>
      <w:szCs w:val="18"/>
    </w:rPr>
  </w:style>
  <w:style w:type="character" w:customStyle="1" w:styleId="51">
    <w:name w:val="文档结构图 字符"/>
    <w:link w:val="5"/>
    <w:qFormat/>
    <w:locked/>
    <w:uiPriority w:val="0"/>
    <w:rPr>
      <w:rFonts w:ascii="宋体" w:cs="Times New Roman"/>
      <w:sz w:val="18"/>
      <w:szCs w:val="18"/>
    </w:rPr>
  </w:style>
  <w:style w:type="character" w:customStyle="1" w:styleId="52">
    <w:name w:val="批注主题 字符"/>
    <w:link w:val="17"/>
    <w:semiHidden/>
    <w:qFormat/>
    <w:locked/>
    <w:uiPriority w:val="0"/>
    <w:rPr>
      <w:rFonts w:ascii="Calibri" w:hAnsi="Calibri" w:cs="Calibri"/>
      <w:b/>
      <w:bCs/>
      <w:kern w:val="2"/>
      <w:sz w:val="21"/>
      <w:szCs w:val="21"/>
    </w:rPr>
  </w:style>
  <w:style w:type="character" w:customStyle="1" w:styleId="53">
    <w:name w:val="批注框文本 字符"/>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1">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62">
    <w:name w:val="修订8"/>
    <w:hidden/>
    <w:semiHidden/>
    <w:qFormat/>
    <w:uiPriority w:val="99"/>
    <w:rPr>
      <w:rFonts w:ascii="Times New Roman" w:hAnsi="Times New Roman" w:eastAsia="宋体" w:cs="Times New Roman"/>
      <w:kern w:val="2"/>
      <w:sz w:val="21"/>
      <w:szCs w:val="24"/>
      <w:lang w:val="en-US" w:eastAsia="zh-CN" w:bidi="ar-SA"/>
    </w:rPr>
  </w:style>
  <w:style w:type="paragraph" w:customStyle="1" w:styleId="63">
    <w:name w:val="修订9"/>
    <w:hidden/>
    <w:semiHidden/>
    <w:qFormat/>
    <w:uiPriority w:val="99"/>
    <w:rPr>
      <w:rFonts w:ascii="Times New Roman" w:hAnsi="Times New Roman" w:eastAsia="宋体" w:cs="Times New Roman"/>
      <w:kern w:val="2"/>
      <w:sz w:val="21"/>
      <w:szCs w:val="24"/>
      <w:lang w:val="en-US" w:eastAsia="zh-CN" w:bidi="ar-SA"/>
    </w:rPr>
  </w:style>
  <w:style w:type="paragraph" w:customStyle="1" w:styleId="64">
    <w:name w:val="修订10"/>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CFCB8-A120-4EB6-AED8-CB33B9DEFDCC}">
  <ds:schemaRefs/>
</ds:datastoreItem>
</file>

<file path=docProps/app.xml><?xml version="1.0" encoding="utf-8"?>
<Properties xmlns="http://schemas.openxmlformats.org/officeDocument/2006/extended-properties" xmlns:vt="http://schemas.openxmlformats.org/officeDocument/2006/docPropsVTypes">
  <Template>Normal.dotm</Template>
  <Pages>5</Pages>
  <Words>4171</Words>
  <Characters>4540</Characters>
  <Lines>138</Lines>
  <Paragraphs>38</Paragraphs>
  <TotalTime>0</TotalTime>
  <ScaleCrop>false</ScaleCrop>
  <LinksUpToDate>false</LinksUpToDate>
  <CharactersWithSpaces>4556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2023-03-14T06:34:00Z</dcterms:created>
  <dc:creator>kongjian</dc:creator>
  <cp:lastModifiedBy>YZ</cp:lastModifiedBy>
  <cp:lastPrinted>2023-03-09T06:50:00Z</cp:lastPrinted>
  <dcterms:modified xsi:type="dcterms:W3CDTF">2023-07-31T01:25:24Z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5212585243EC4FE9A170B5465A9CFC73</vt:lpwstr>
  </property>
</Properties>
</file>