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line="360" w:lineRule="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ascii="黑体" w:hAnsi="黑体" w:eastAsia="黑体" w:cs="黑体"/>
          <w:sz w:val="32"/>
          <w:szCs w:val="32"/>
        </w:rPr>
        <w:t>2</w:t>
      </w:r>
    </w:p>
    <w:p>
      <w:pPr>
        <w:spacing w:line="600" w:lineRule="exact"/>
        <w:jc w:val="center"/>
        <w:rPr>
          <w:rFonts w:hint="eastAsia" w:ascii="宋体" w:hAnsi="宋体" w:cs="宋体"/>
          <w:b/>
          <w:bCs/>
          <w:sz w:val="44"/>
          <w:szCs w:val="44"/>
        </w:rPr>
      </w:pPr>
    </w:p>
    <w:p>
      <w:pPr>
        <w:spacing w:line="600" w:lineRule="exact"/>
        <w:jc w:val="center"/>
        <w:rPr>
          <w:rFonts w:hint="eastAsia" w:ascii="宋体" w:hAnsi="宋体" w:cs="宋体"/>
          <w:b/>
          <w:bCs/>
          <w:sz w:val="44"/>
          <w:szCs w:val="44"/>
        </w:rPr>
      </w:pPr>
      <w:r>
        <w:rPr>
          <w:rFonts w:hint="eastAsia" w:ascii="宋体" w:hAnsi="宋体" w:cs="宋体"/>
          <w:b/>
          <w:bCs/>
          <w:sz w:val="44"/>
          <w:szCs w:val="44"/>
        </w:rPr>
        <w:t>福建师范大学非电子类设备废弃物</w:t>
      </w:r>
    </w:p>
    <w:p>
      <w:pPr>
        <w:spacing w:line="600" w:lineRule="exact"/>
        <w:jc w:val="center"/>
        <w:rPr>
          <w:rFonts w:hint="eastAsia" w:ascii="宋体" w:hAnsi="宋体" w:cs="宋体"/>
          <w:b/>
          <w:bCs/>
          <w:sz w:val="44"/>
          <w:szCs w:val="44"/>
        </w:rPr>
      </w:pPr>
      <w:r>
        <w:rPr>
          <w:rFonts w:hint="eastAsia" w:ascii="宋体" w:hAnsi="宋体" w:cs="宋体"/>
          <w:b/>
          <w:bCs/>
          <w:sz w:val="44"/>
          <w:szCs w:val="44"/>
        </w:rPr>
        <w:t>拍卖处置规定（暂行）</w:t>
      </w:r>
    </w:p>
    <w:p>
      <w:pPr>
        <w:spacing w:line="600" w:lineRule="exact"/>
        <w:rPr>
          <w:rFonts w:hint="eastAsia" w:ascii="仿宋" w:hAnsi="仿宋" w:eastAsia="仿宋" w:cs="仿宋"/>
          <w:b/>
          <w:bCs/>
          <w:sz w:val="32"/>
          <w:szCs w:val="32"/>
        </w:rPr>
      </w:pPr>
    </w:p>
    <w:p>
      <w:pPr>
        <w:pStyle w:val="5"/>
        <w:spacing w:before="0" w:beforeAutospacing="0" w:after="150" w:afterAutospacing="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为保障我校非电子类设备废弃物处置合法权益，确保拍卖工作公平、公正、公开，根据工作实际，特制定本规定。</w:t>
      </w:r>
    </w:p>
    <w:p>
      <w:pPr>
        <w:pStyle w:val="5"/>
        <w:spacing w:before="0" w:beforeAutospacing="0" w:after="150" w:afterAutospacing="0"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一、竞拍单位选取</w:t>
      </w:r>
    </w:p>
    <w:p>
      <w:pPr>
        <w:pStyle w:val="5"/>
        <w:spacing w:before="0" w:beforeAutospacing="0" w:after="150" w:afterAutospacing="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每次举行非电子类设备废弃物拍卖会的前一天，将从当年度入围学校非电子类设备废弃物回收单位库（以下简称“入围单位库”）中选取若干家单位参加竞拍。其中，首次拍卖选取5家单位参加竞拍，均从入围单位库中随机抽取；第二次及以后的拍卖选取3家单位参加竞拍，优先邀请前一次拍卖中报价最高的单位，其余2个单位从入围单位库中随机抽取。若前一次拍卖中报价最高的单位自愿放弃参加竞拍或联系不上，将不实行依次递补，按首次拍卖选取5家单位参加竞拍，均从入围单位库中随机抽取。</w:t>
      </w:r>
    </w:p>
    <w:p>
      <w:pPr>
        <w:pStyle w:val="5"/>
        <w:spacing w:before="0" w:beforeAutospacing="0" w:after="150" w:afterAutospacing="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若在服务期限内，入围单位库回收单位无法满足我校特殊类型的非电子类设备废弃物（如钢琴等）拍卖处置回收要求，则就特殊类型的非电子类设备废弃物拍卖处置另行发布相关公告。</w:t>
      </w:r>
    </w:p>
    <w:p>
      <w:pPr>
        <w:pStyle w:val="5"/>
        <w:spacing w:before="0" w:beforeAutospacing="0" w:after="150" w:afterAutospacing="0"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二、竞拍主要流程</w:t>
      </w:r>
    </w:p>
    <w:p>
      <w:pPr>
        <w:spacing w:line="600" w:lineRule="exact"/>
        <w:ind w:firstLine="643" w:firstLineChars="200"/>
        <w:rPr>
          <w:rFonts w:hint="eastAsia" w:ascii="仿宋_GB2312" w:hAnsi="宋体" w:eastAsia="仿宋_GB2312" w:cs="宋体"/>
          <w:kern w:val="0"/>
          <w:sz w:val="32"/>
          <w:szCs w:val="32"/>
        </w:rPr>
      </w:pPr>
      <w:r>
        <w:rPr>
          <w:rFonts w:hint="eastAsia" w:ascii="楷体" w:hAnsi="楷体" w:eastAsia="楷体" w:cs="楷体"/>
          <w:b/>
          <w:bCs/>
          <w:sz w:val="32"/>
          <w:szCs w:val="32"/>
        </w:rPr>
        <w:t>1.签到。</w:t>
      </w:r>
      <w:r>
        <w:rPr>
          <w:rFonts w:hint="eastAsia" w:ascii="仿宋" w:hAnsi="仿宋" w:eastAsia="仿宋" w:cs="仿宋"/>
          <w:sz w:val="32"/>
          <w:szCs w:val="32"/>
        </w:rPr>
        <w:t>非电子类设备废弃物拍卖实行现场竞拍。参加竞拍单位的竞拍人代表（须为申请入库时公司法定代表人授权的竞拍人代表）在规定的时间内到达拍卖现场签到，否则视为自动放弃竞拍资格。若在规定的时间内到场的竞拍单位不足3家（首次为5家），本次拍卖会终止。竞拍人代表在签到前须提交</w:t>
      </w:r>
      <w:r>
        <w:rPr>
          <w:rFonts w:hint="eastAsia" w:ascii="仿宋_GB2312" w:eastAsia="仿宋_GB2312"/>
          <w:sz w:val="32"/>
          <w:szCs w:val="32"/>
        </w:rPr>
        <w:t>身份证原件和复印件</w:t>
      </w:r>
      <w:r>
        <w:rPr>
          <w:rFonts w:hint="eastAsia" w:ascii="仿宋_GB2312" w:hAnsi="宋体" w:eastAsia="仿宋_GB2312" w:cs="宋体"/>
          <w:kern w:val="0"/>
          <w:sz w:val="32"/>
          <w:szCs w:val="32"/>
        </w:rPr>
        <w:t>。</w:t>
      </w:r>
    </w:p>
    <w:p>
      <w:pPr>
        <w:pStyle w:val="5"/>
        <w:spacing w:before="0" w:beforeAutospacing="0" w:after="150" w:afterAutospacing="0" w:line="600" w:lineRule="exact"/>
        <w:ind w:firstLine="643" w:firstLineChars="200"/>
        <w:rPr>
          <w:rFonts w:hint="eastAsia" w:ascii="仿宋" w:hAnsi="仿宋" w:eastAsia="仿宋" w:cs="仿宋"/>
          <w:sz w:val="32"/>
          <w:szCs w:val="32"/>
        </w:rPr>
      </w:pPr>
      <w:r>
        <w:rPr>
          <w:rFonts w:hint="eastAsia" w:ascii="楷体" w:hAnsi="楷体" w:eastAsia="楷体" w:cs="楷体"/>
          <w:b/>
          <w:bCs/>
          <w:kern w:val="2"/>
          <w:sz w:val="32"/>
          <w:szCs w:val="32"/>
        </w:rPr>
        <w:t>2.竞拍。</w:t>
      </w:r>
      <w:r>
        <w:rPr>
          <w:rFonts w:hint="eastAsia" w:ascii="仿宋_GB2312" w:hAnsi="Calibri" w:eastAsia="仿宋_GB2312" w:cs="Times New Roman"/>
          <w:kern w:val="2"/>
          <w:sz w:val="32"/>
          <w:szCs w:val="32"/>
        </w:rPr>
        <w:t>工作人员现场发放本次拍卖的废弃物清单，参加竞拍的单位代表上交通讯工具，在学校统一组织下，按签到的先后顺序依次现场查看拍卖的废弃物，并在规定的时间内独立填写</w:t>
      </w:r>
      <w:r>
        <w:rPr>
          <w:rFonts w:hint="eastAsia" w:ascii="仿宋" w:hAnsi="仿宋" w:eastAsia="仿宋" w:cs="仿宋"/>
          <w:sz w:val="32"/>
          <w:szCs w:val="32"/>
        </w:rPr>
        <w:t>报价单，现场密封后投放到指定位置。所有竞拍单位完成书面报价后，学校现场开启各竞拍单位的报价，报价最高者取得本次拍卖的废弃物的回收权。</w:t>
      </w:r>
    </w:p>
    <w:p>
      <w:pPr>
        <w:pStyle w:val="5"/>
        <w:spacing w:before="0" w:beforeAutospacing="0" w:after="150" w:afterAutospacing="0" w:line="600"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rPr>
        <w:t>3.缴款。</w:t>
      </w:r>
      <w:r>
        <w:rPr>
          <w:rFonts w:hint="eastAsia" w:ascii="仿宋" w:hAnsi="仿宋" w:eastAsia="仿宋" w:cs="仿宋"/>
          <w:sz w:val="32"/>
          <w:szCs w:val="32"/>
        </w:rPr>
        <w:t>回收单位须在2个工作日内，凭我校实验室与设备管理处出具的缴款凭证，到学校财务处足额上缴回收款，并凭学校财务处出具的缴款回执到实验室与设备管理处开具废弃物出门条。</w:t>
      </w:r>
    </w:p>
    <w:p>
      <w:pPr>
        <w:pStyle w:val="5"/>
        <w:spacing w:before="0" w:beforeAutospacing="0" w:after="150" w:afterAutospacing="0" w:line="600"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rPr>
        <w:t>4.公示。</w:t>
      </w:r>
      <w:r>
        <w:rPr>
          <w:rFonts w:hint="eastAsia" w:ascii="仿宋" w:hAnsi="仿宋" w:eastAsia="仿宋" w:cs="仿宋"/>
          <w:sz w:val="32"/>
          <w:szCs w:val="32"/>
        </w:rPr>
        <w:t>每次竞拍结果实验室与设备管理处网站上公告。</w:t>
      </w:r>
    </w:p>
    <w:p>
      <w:pPr>
        <w:pStyle w:val="5"/>
        <w:spacing w:before="0" w:beforeAutospacing="0" w:after="150" w:afterAutospacing="0"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三、回收单位管理</w:t>
      </w:r>
    </w:p>
    <w:p>
      <w:pPr>
        <w:pStyle w:val="5"/>
        <w:spacing w:before="0" w:beforeAutospacing="0" w:after="150" w:afterAutospacing="0" w:line="600"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rPr>
        <w:t>1.实行考核评分机制。</w:t>
      </w:r>
      <w:r>
        <w:rPr>
          <w:rFonts w:hint="eastAsia" w:ascii="仿宋" w:hAnsi="仿宋" w:eastAsia="仿宋" w:cs="仿宋"/>
          <w:sz w:val="32"/>
          <w:szCs w:val="32"/>
        </w:rPr>
        <w:t>学校原则上每两年遴选一次非电子类设备废弃物回收单位库，第一年服务期满学校对本服务期内取得回收权的回收单位进行考核。考核内容包括：响应时间、服务态度、安全回收、回收完成时间、回收质量、被回收单位反馈意见等。考核结果分为优良（85-100分）、合格（60-84分）、不合格（60分以下）等三个等级。考核总分被评为不合格的，实验室与设备管理处在本单位网站上公告，并取消该回收单位下一服务期限内的废弃物回收资格并从回收单位库中除名。</w:t>
      </w:r>
    </w:p>
    <w:p>
      <w:pPr>
        <w:pStyle w:val="5"/>
        <w:spacing w:before="0" w:beforeAutospacing="0" w:after="150" w:afterAutospacing="0" w:line="600"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rPr>
        <w:t>2.严惩回收失范行为。</w:t>
      </w:r>
      <w:r>
        <w:rPr>
          <w:rFonts w:hint="eastAsia" w:ascii="仿宋" w:hAnsi="仿宋" w:eastAsia="仿宋" w:cs="仿宋"/>
          <w:sz w:val="32"/>
          <w:szCs w:val="32"/>
        </w:rPr>
        <w:t>对于蓄意压价、干扰正常拍卖回收工作的回收单位，学校有权对其提出警告、终止本次竞拍资格或从入围库中除名等措施。对于出现重大拍卖回收问题的，学校将其列入“黑名单”，其在5年内不得入围我校回收单位库。</w:t>
      </w:r>
    </w:p>
    <w:p>
      <w:pPr>
        <w:pStyle w:val="5"/>
        <w:spacing w:before="0" w:beforeAutospacing="0" w:after="150" w:afterAutospacing="0"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四、本规定解释权归福建师范大学实验室与设备管理处。</w:t>
      </w:r>
    </w:p>
    <w:p>
      <w:pPr>
        <w:pStyle w:val="5"/>
        <w:spacing w:before="0" w:beforeAutospacing="0" w:after="150" w:afterAutospacing="0" w:line="600" w:lineRule="exact"/>
        <w:ind w:firstLine="640" w:firstLineChars="200"/>
        <w:rPr>
          <w:rFonts w:hint="eastAsia" w:ascii="仿宋" w:hAnsi="仿宋" w:eastAsia="仿宋" w:cs="仿宋"/>
          <w:sz w:val="32"/>
          <w:szCs w:val="32"/>
        </w:rPr>
      </w:pPr>
    </w:p>
    <w:p>
      <w:pPr>
        <w:pStyle w:val="5"/>
        <w:spacing w:before="0" w:beforeAutospacing="0" w:after="150" w:afterAutospacing="0" w:line="600" w:lineRule="exact"/>
        <w:ind w:firstLine="640" w:firstLineChars="200"/>
        <w:rPr>
          <w:rFonts w:hint="eastAsia" w:ascii="仿宋" w:hAnsi="仿宋" w:eastAsia="仿宋" w:cs="仿宋"/>
          <w:sz w:val="32"/>
          <w:szCs w:val="32"/>
        </w:rPr>
      </w:pPr>
    </w:p>
    <w:p>
      <w:pPr>
        <w:pStyle w:val="5"/>
        <w:spacing w:before="0" w:beforeAutospacing="0" w:after="150" w:afterAutospacing="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spacing w:line="500" w:lineRule="exact"/>
        <w:jc w:val="center"/>
        <w:rPr>
          <w:rFonts w:hint="eastAsia" w:ascii="方正小标宋简体" w:eastAsia="方正小标宋简体"/>
          <w:sz w:val="32"/>
          <w:szCs w:val="32"/>
        </w:rPr>
      </w:pPr>
    </w:p>
    <w:p>
      <w:pPr>
        <w:spacing w:line="500" w:lineRule="exact"/>
        <w:jc w:val="center"/>
        <w:rPr>
          <w:rFonts w:hint="eastAsia" w:ascii="方正小标宋简体" w:eastAsia="方正小标宋简体"/>
          <w:sz w:val="32"/>
          <w:szCs w:val="32"/>
        </w:rPr>
      </w:pPr>
    </w:p>
    <w:p>
      <w:pPr>
        <w:spacing w:line="500" w:lineRule="exact"/>
        <w:jc w:val="center"/>
        <w:rPr>
          <w:rFonts w:hint="eastAsia" w:ascii="方正小标宋简体" w:eastAsia="方正小标宋简体"/>
          <w:sz w:val="32"/>
          <w:szCs w:val="32"/>
        </w:rPr>
      </w:pPr>
    </w:p>
    <w:p>
      <w:pPr>
        <w:spacing w:line="500" w:lineRule="exact"/>
        <w:jc w:val="center"/>
        <w:rPr>
          <w:rFonts w:hint="eastAsia" w:ascii="方正小标宋简体" w:eastAsia="方正小标宋简体"/>
          <w:sz w:val="32"/>
          <w:szCs w:val="32"/>
        </w:rPr>
      </w:pPr>
    </w:p>
    <w:p>
      <w:pPr>
        <w:spacing w:line="500" w:lineRule="exact"/>
        <w:jc w:val="center"/>
        <w:rPr>
          <w:rFonts w:hint="eastAsia" w:ascii="方正小标宋简体" w:eastAsia="方正小标宋简体"/>
          <w:sz w:val="32"/>
          <w:szCs w:val="32"/>
        </w:rPr>
      </w:pPr>
    </w:p>
    <w:p>
      <w:pPr>
        <w:spacing w:line="500" w:lineRule="exact"/>
        <w:jc w:val="center"/>
        <w:rPr>
          <w:rFonts w:hint="eastAsia" w:ascii="方正小标宋简体" w:eastAsia="方正小标宋简体"/>
          <w:sz w:val="32"/>
          <w:szCs w:val="32"/>
        </w:rPr>
      </w:pPr>
    </w:p>
    <w:p>
      <w:pPr>
        <w:spacing w:line="500" w:lineRule="exact"/>
        <w:jc w:val="center"/>
        <w:rPr>
          <w:rFonts w:hint="eastAsia" w:ascii="宋体" w:hAnsi="宋体" w:cs="宋体"/>
          <w:b/>
          <w:bCs/>
          <w:sz w:val="32"/>
          <w:szCs w:val="32"/>
        </w:rPr>
      </w:pPr>
      <w:r>
        <w:rPr>
          <w:rFonts w:hint="eastAsia" w:ascii="宋体" w:hAnsi="宋体" w:cs="宋体"/>
          <w:b/>
          <w:bCs/>
          <w:sz w:val="32"/>
          <w:szCs w:val="32"/>
        </w:rPr>
        <w:t>福建师范大学非电子类设备废弃物回收单位综合考评表</w:t>
      </w:r>
    </w:p>
    <w:p>
      <w:pPr>
        <w:spacing w:line="500" w:lineRule="exact"/>
        <w:jc w:val="center"/>
        <w:rPr>
          <w:rFonts w:ascii="方正小标宋简体" w:eastAsia="方正小标宋简体"/>
          <w:sz w:val="32"/>
          <w:szCs w:val="32"/>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31"/>
        <w:gridCol w:w="1544"/>
        <w:gridCol w:w="115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b/>
                <w:sz w:val="28"/>
                <w:szCs w:val="28"/>
              </w:rPr>
            </w:pPr>
            <w:r>
              <w:rPr>
                <w:rFonts w:hint="eastAsia" w:ascii="仿宋" w:hAnsi="仿宋" w:eastAsia="仿宋" w:cs="仿宋"/>
                <w:b/>
                <w:sz w:val="28"/>
                <w:szCs w:val="28"/>
              </w:rPr>
              <w:t>回收单位</w:t>
            </w:r>
          </w:p>
        </w:tc>
        <w:tc>
          <w:tcPr>
            <w:tcW w:w="694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b/>
                <w:sz w:val="28"/>
                <w:szCs w:val="28"/>
              </w:rPr>
            </w:pPr>
            <w:r>
              <w:rPr>
                <w:rFonts w:hint="eastAsia" w:ascii="仿宋" w:hAnsi="仿宋" w:eastAsia="仿宋" w:cs="仿宋"/>
                <w:b/>
                <w:sz w:val="28"/>
                <w:szCs w:val="28"/>
              </w:rPr>
              <w:t>回收人</w:t>
            </w: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b/>
                <w:sz w:val="28"/>
                <w:szCs w:val="28"/>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b/>
                <w:sz w:val="28"/>
                <w:szCs w:val="28"/>
              </w:rPr>
            </w:pPr>
            <w:r>
              <w:rPr>
                <w:rFonts w:hint="eastAsia" w:ascii="仿宋" w:hAnsi="仿宋" w:eastAsia="仿宋" w:cs="仿宋"/>
                <w:b/>
                <w:sz w:val="28"/>
                <w:szCs w:val="28"/>
              </w:rPr>
              <w:t>联系电话</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b/>
                <w:sz w:val="28"/>
                <w:szCs w:val="28"/>
              </w:rPr>
            </w:pPr>
            <w:r>
              <w:rPr>
                <w:rFonts w:hint="eastAsia" w:ascii="仿宋" w:hAnsi="仿宋" w:eastAsia="仿宋" w:cs="仿宋"/>
                <w:b/>
                <w:sz w:val="28"/>
                <w:szCs w:val="28"/>
              </w:rPr>
              <w:t>评分标准</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b/>
                <w:sz w:val="28"/>
                <w:szCs w:val="28"/>
              </w:rPr>
            </w:pPr>
            <w:r>
              <w:rPr>
                <w:rFonts w:hint="eastAsia" w:ascii="仿宋" w:hAnsi="仿宋" w:eastAsia="仿宋" w:cs="仿宋"/>
                <w:b/>
                <w:sz w:val="28"/>
                <w:szCs w:val="28"/>
              </w:rPr>
              <w:t>标准分值</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b/>
                <w:sz w:val="28"/>
                <w:szCs w:val="28"/>
              </w:rPr>
            </w:pPr>
            <w:r>
              <w:rPr>
                <w:rFonts w:hint="eastAsia" w:ascii="仿宋" w:hAnsi="仿宋" w:eastAsia="仿宋" w:cs="仿宋"/>
                <w:b/>
                <w:sz w:val="28"/>
                <w:szCs w:val="28"/>
              </w:rPr>
              <w:t>得分</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b/>
                <w:sz w:val="28"/>
                <w:szCs w:val="28"/>
              </w:rPr>
            </w:pPr>
            <w:r>
              <w:rPr>
                <w:rFonts w:hint="eastAsia" w:ascii="仿宋" w:hAnsi="仿宋" w:eastAsia="仿宋" w:cs="仿宋"/>
                <w:sz w:val="28"/>
                <w:szCs w:val="28"/>
              </w:rPr>
              <w:t>1</w:t>
            </w: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sz w:val="28"/>
                <w:szCs w:val="28"/>
              </w:rPr>
            </w:pPr>
            <w:r>
              <w:rPr>
                <w:rFonts w:hint="eastAsia" w:ascii="仿宋" w:hAnsi="仿宋" w:eastAsia="仿宋" w:cs="仿宋"/>
                <w:sz w:val="28"/>
                <w:szCs w:val="28"/>
              </w:rPr>
              <w:t>响应时间</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b/>
                <w:sz w:val="28"/>
                <w:szCs w:val="28"/>
              </w:rPr>
            </w:pPr>
            <w:r>
              <w:rPr>
                <w:rFonts w:hint="eastAsia" w:ascii="仿宋" w:hAnsi="仿宋" w:eastAsia="仿宋" w:cs="仿宋"/>
                <w:sz w:val="28"/>
                <w:szCs w:val="28"/>
              </w:rPr>
              <w:t>10</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b/>
                <w:sz w:val="28"/>
                <w:szCs w:val="28"/>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sz w:val="28"/>
                <w:szCs w:val="28"/>
              </w:rPr>
            </w:pPr>
            <w:r>
              <w:rPr>
                <w:rFonts w:hint="eastAsia" w:ascii="仿宋" w:hAnsi="仿宋" w:eastAsia="仿宋" w:cs="仿宋"/>
                <w:sz w:val="28"/>
                <w:szCs w:val="28"/>
              </w:rPr>
              <w:t>服务态度</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20</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sz w:val="28"/>
                <w:szCs w:val="28"/>
              </w:rPr>
            </w:pPr>
            <w:r>
              <w:rPr>
                <w:rFonts w:hint="eastAsia" w:ascii="仿宋" w:hAnsi="仿宋" w:eastAsia="仿宋" w:cs="仿宋"/>
                <w:sz w:val="28"/>
                <w:szCs w:val="28"/>
              </w:rPr>
              <w:t>安全回收</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20</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sz w:val="28"/>
                <w:szCs w:val="28"/>
              </w:rPr>
            </w:pPr>
            <w:r>
              <w:rPr>
                <w:rFonts w:hint="eastAsia" w:ascii="仿宋" w:hAnsi="仿宋" w:eastAsia="仿宋" w:cs="仿宋"/>
                <w:sz w:val="28"/>
                <w:szCs w:val="28"/>
              </w:rPr>
              <w:t>回收完成时间</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10</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sz w:val="28"/>
                <w:szCs w:val="28"/>
              </w:rPr>
            </w:pPr>
            <w:r>
              <w:rPr>
                <w:rFonts w:hint="eastAsia" w:ascii="仿宋" w:hAnsi="仿宋" w:eastAsia="仿宋" w:cs="仿宋"/>
                <w:sz w:val="28"/>
                <w:szCs w:val="28"/>
              </w:rPr>
              <w:t>回收质量</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10</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6</w:t>
            </w: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sz w:val="28"/>
                <w:szCs w:val="28"/>
              </w:rPr>
            </w:pPr>
            <w:r>
              <w:rPr>
                <w:rFonts w:hint="eastAsia" w:ascii="仿宋" w:hAnsi="仿宋" w:eastAsia="仿宋" w:cs="仿宋"/>
                <w:sz w:val="28"/>
                <w:szCs w:val="28"/>
              </w:rPr>
              <w:t>被回收单位反馈意见</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30</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sz w:val="28"/>
                <w:szCs w:val="28"/>
              </w:rPr>
            </w:pPr>
            <w:r>
              <w:rPr>
                <w:rFonts w:hint="eastAsia" w:ascii="仿宋" w:hAnsi="仿宋" w:eastAsia="仿宋" w:cs="仿宋"/>
                <w:sz w:val="28"/>
                <w:szCs w:val="28"/>
              </w:rPr>
              <w:t>合计</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100</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33"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被回收单位总体评价意见</w:t>
            </w:r>
          </w:p>
        </w:tc>
        <w:tc>
          <w:tcPr>
            <w:tcW w:w="694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p>
          <w:p>
            <w:pPr>
              <w:spacing w:line="300" w:lineRule="exact"/>
              <w:jc w:val="center"/>
              <w:rPr>
                <w:rFonts w:hint="eastAsia" w:ascii="仿宋" w:hAnsi="仿宋" w:eastAsia="仿宋" w:cs="仿宋"/>
                <w:sz w:val="28"/>
                <w:szCs w:val="28"/>
              </w:rPr>
            </w:pPr>
          </w:p>
          <w:p>
            <w:pPr>
              <w:spacing w:line="3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49"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实验室与设备管理处意见</w:t>
            </w:r>
          </w:p>
        </w:tc>
        <w:tc>
          <w:tcPr>
            <w:tcW w:w="694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p>
          <w:p>
            <w:pPr>
              <w:spacing w:line="300" w:lineRule="exact"/>
              <w:jc w:val="center"/>
              <w:rPr>
                <w:rFonts w:hint="eastAsia" w:ascii="仿宋" w:hAnsi="仿宋" w:eastAsia="仿宋" w:cs="仿宋"/>
                <w:sz w:val="28"/>
                <w:szCs w:val="28"/>
              </w:rPr>
            </w:pPr>
          </w:p>
          <w:p>
            <w:pPr>
              <w:spacing w:line="300" w:lineRule="exact"/>
              <w:jc w:val="center"/>
              <w:rPr>
                <w:rFonts w:hint="eastAsia" w:ascii="仿宋" w:hAnsi="仿宋" w:eastAsia="仿宋" w:cs="仿宋"/>
                <w:sz w:val="28"/>
                <w:szCs w:val="28"/>
              </w:rPr>
            </w:pPr>
          </w:p>
        </w:tc>
      </w:tr>
    </w:tbl>
    <w:p>
      <w:pPr>
        <w:rPr>
          <w:rFonts w:hint="eastAsia" w:ascii="仿宋" w:hAnsi="仿宋" w:eastAsia="仿宋" w:cs="仿宋"/>
          <w:b/>
          <w:sz w:val="28"/>
          <w:szCs w:val="28"/>
        </w:rPr>
      </w:pPr>
      <w:r>
        <w:rPr>
          <w:rFonts w:hint="eastAsia" w:ascii="仿宋" w:hAnsi="仿宋" w:eastAsia="仿宋" w:cs="仿宋"/>
          <w:b/>
          <w:sz w:val="28"/>
          <w:szCs w:val="28"/>
        </w:rPr>
        <w:t>考核人（单位）：                     考核日期：</w:t>
      </w:r>
    </w:p>
    <w:p>
      <w:pPr>
        <w:spacing w:line="600" w:lineRule="exact"/>
        <w:rPr>
          <w:rFonts w:hint="eastAsia" w:ascii="仿宋" w:hAnsi="仿宋" w:eastAsia="仿宋" w:cs="仿宋"/>
          <w:bCs/>
          <w:sz w:val="32"/>
          <w:szCs w:val="32"/>
        </w:rPr>
      </w:pPr>
      <w:r>
        <w:rPr>
          <w:rFonts w:hint="eastAsia" w:ascii="仿宋" w:hAnsi="仿宋" w:eastAsia="仿宋" w:cs="仿宋"/>
          <w:bCs/>
          <w:sz w:val="28"/>
          <w:szCs w:val="28"/>
        </w:rPr>
        <w:t>备注：多人参与考核的取结果的平均值。</w:t>
      </w:r>
    </w:p>
    <w:sectPr>
      <w:footerReference r:id="rId3" w:type="default"/>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方正舒体"/>
    <w:panose1 w:val="03000509000000000000"/>
    <w:charset w:val="86"/>
    <w:family w:val="script"/>
    <w:pitch w:val="default"/>
    <w:sig w:usb0="00000001" w:usb1="080E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7B"/>
    <w:rsid w:val="00055242"/>
    <w:rsid w:val="00150D60"/>
    <w:rsid w:val="00272E10"/>
    <w:rsid w:val="002B5899"/>
    <w:rsid w:val="002D31EB"/>
    <w:rsid w:val="00312120"/>
    <w:rsid w:val="003239B8"/>
    <w:rsid w:val="00336259"/>
    <w:rsid w:val="003A327D"/>
    <w:rsid w:val="00414B2F"/>
    <w:rsid w:val="00522AF8"/>
    <w:rsid w:val="005D5819"/>
    <w:rsid w:val="006D01A9"/>
    <w:rsid w:val="00760126"/>
    <w:rsid w:val="00874A8A"/>
    <w:rsid w:val="00B73AA8"/>
    <w:rsid w:val="00B9717B"/>
    <w:rsid w:val="00CA17B7"/>
    <w:rsid w:val="00D02528"/>
    <w:rsid w:val="062B1416"/>
    <w:rsid w:val="0F1C08BE"/>
    <w:rsid w:val="139E413B"/>
    <w:rsid w:val="16D9273E"/>
    <w:rsid w:val="1FF559CB"/>
    <w:rsid w:val="228F7006"/>
    <w:rsid w:val="22BE65E2"/>
    <w:rsid w:val="24A37C67"/>
    <w:rsid w:val="2A93773E"/>
    <w:rsid w:val="2B046D65"/>
    <w:rsid w:val="2B3C7493"/>
    <w:rsid w:val="35D6722E"/>
    <w:rsid w:val="3CD72029"/>
    <w:rsid w:val="3DCF157F"/>
    <w:rsid w:val="46277828"/>
    <w:rsid w:val="4D8979E0"/>
    <w:rsid w:val="661A7ABE"/>
    <w:rsid w:val="6BE12664"/>
    <w:rsid w:val="6D8F0ED2"/>
    <w:rsid w:val="76A154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8">
    <w:name w:val="p0"/>
    <w:basedOn w:val="1"/>
    <w:qFormat/>
    <w:uiPriority w:val="0"/>
    <w:pPr>
      <w:widowControl/>
    </w:pPr>
    <w:rPr>
      <w:kern w:val="0"/>
      <w:szCs w:val="21"/>
    </w:rPr>
  </w:style>
  <w:style w:type="character" w:customStyle="1" w:styleId="9">
    <w:name w:val="批注框文本 Char"/>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1299</Words>
  <Characters>1323</Characters>
  <Lines>10</Lines>
  <Paragraphs>2</Paragraphs>
  <TotalTime>0</TotalTime>
  <ScaleCrop>false</ScaleCrop>
  <LinksUpToDate>false</LinksUpToDate>
  <CharactersWithSpaces>1363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2019-12-25T01:08:00Z</dcterms:created>
  <dc:creator>user</dc:creator>
  <cp:lastModifiedBy>南子</cp:lastModifiedBy>
  <cp:lastPrinted>2022-05-06T03:28:00Z</cp:lastPrinted>
  <dcterms:modified xsi:type="dcterms:W3CDTF">2024-06-21T01:06:38Z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DE0C131EC7BE4F6DAA49819FA37CD75E_13</vt:lpwstr>
  </property>
</Properties>
</file>